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1B" w:rsidRDefault="0036641B" w:rsidP="0036641B">
      <w:pPr>
        <w:spacing w:before="225" w:after="75" w:line="240" w:lineRule="auto"/>
        <w:jc w:val="center"/>
        <w:outlineLvl w:val="0"/>
        <w:rPr>
          <w:rFonts w:ascii="Times New Roman" w:eastAsia="Times New Roman" w:hAnsi="Times New Roman" w:cs="Times New Roman"/>
          <w:b/>
          <w:bCs/>
          <w:color w:val="444444"/>
          <w:spacing w:val="-15"/>
          <w:kern w:val="36"/>
          <w:sz w:val="28"/>
          <w:szCs w:val="28"/>
        </w:rPr>
      </w:pPr>
      <w:r>
        <w:rPr>
          <w:rFonts w:ascii="Times New Roman" w:eastAsia="Times New Roman" w:hAnsi="Times New Roman" w:cs="Times New Roman"/>
          <w:b/>
          <w:bCs/>
          <w:color w:val="444444"/>
          <w:spacing w:val="-15"/>
          <w:kern w:val="36"/>
          <w:sz w:val="28"/>
          <w:szCs w:val="28"/>
        </w:rPr>
        <w:t xml:space="preserve">THEO DÕI, PHÁT HIỆN VÀ XỬ TRÍ </w:t>
      </w:r>
    </w:p>
    <w:p w:rsidR="0036641B" w:rsidRDefault="0036641B" w:rsidP="0036641B">
      <w:pPr>
        <w:spacing w:before="225" w:after="75" w:line="240" w:lineRule="auto"/>
        <w:jc w:val="center"/>
        <w:outlineLvl w:val="0"/>
        <w:rPr>
          <w:rFonts w:ascii="Times New Roman" w:eastAsia="Times New Roman" w:hAnsi="Times New Roman" w:cs="Times New Roman"/>
          <w:b/>
          <w:bCs/>
          <w:color w:val="444444"/>
          <w:spacing w:val="-15"/>
          <w:kern w:val="36"/>
          <w:sz w:val="28"/>
          <w:szCs w:val="28"/>
        </w:rPr>
      </w:pPr>
      <w:r>
        <w:rPr>
          <w:rFonts w:ascii="Times New Roman" w:eastAsia="Times New Roman" w:hAnsi="Times New Roman" w:cs="Times New Roman"/>
          <w:b/>
          <w:bCs/>
          <w:color w:val="444444"/>
          <w:spacing w:val="-15"/>
          <w:kern w:val="36"/>
          <w:sz w:val="28"/>
          <w:szCs w:val="28"/>
        </w:rPr>
        <w:t>TÁC ĐỘNG CỦA KHÁNG SINH TRÊN TIỂU CẦU</w:t>
      </w:r>
    </w:p>
    <w:p w:rsidR="00555D21" w:rsidRPr="00555D21" w:rsidRDefault="00555D21" w:rsidP="00555D21">
      <w:pPr>
        <w:spacing w:after="0" w:line="240" w:lineRule="auto"/>
        <w:jc w:val="both"/>
        <w:rPr>
          <w:rFonts w:ascii="Times New Roman" w:eastAsia="Times New Roman" w:hAnsi="Times New Roman" w:cs="Times New Roman"/>
          <w:color w:val="999999"/>
          <w:sz w:val="28"/>
          <w:szCs w:val="28"/>
        </w:rPr>
      </w:pPr>
      <w:bookmarkStart w:id="0" w:name="_GoBack"/>
      <w:bookmarkEnd w:id="0"/>
      <w:r w:rsidRPr="0036641B">
        <w:rPr>
          <w:rFonts w:ascii="Times New Roman" w:eastAsia="Times New Roman" w:hAnsi="Times New Roman" w:cs="Times New Roman"/>
          <w:color w:val="999999"/>
          <w:sz w:val="28"/>
          <w:szCs w:val="28"/>
        </w:rPr>
        <w:t>By </w:t>
      </w:r>
      <w:hyperlink r:id="rId6" w:tooltip="Đăng bởi ngoctramanh" w:history="1">
        <w:r w:rsidRPr="0036641B">
          <w:rPr>
            <w:rFonts w:ascii="Times New Roman" w:eastAsia="Times New Roman" w:hAnsi="Times New Roman" w:cs="Times New Roman"/>
            <w:color w:val="999999"/>
            <w:sz w:val="28"/>
            <w:szCs w:val="28"/>
          </w:rPr>
          <w:t>ngoctramanh</w:t>
        </w:r>
      </w:hyperlink>
      <w:r w:rsidRPr="00555D21">
        <w:rPr>
          <w:rFonts w:ascii="Times New Roman" w:eastAsia="Times New Roman" w:hAnsi="Times New Roman" w:cs="Times New Roman"/>
          <w:color w:val="999999"/>
          <w:sz w:val="28"/>
          <w:szCs w:val="28"/>
        </w:rPr>
        <w:t> </w:t>
      </w:r>
      <w:hyperlink r:id="rId7" w:history="1">
        <w:r w:rsidRPr="0036641B">
          <w:rPr>
            <w:rFonts w:ascii="Times New Roman" w:eastAsia="Times New Roman" w:hAnsi="Times New Roman" w:cs="Times New Roman"/>
            <w:color w:val="999999"/>
            <w:sz w:val="28"/>
            <w:szCs w:val="28"/>
          </w:rPr>
          <w:t>Dược điều trị</w:t>
        </w:r>
      </w:hyperlink>
      <w:r w:rsidRPr="0036641B">
        <w:rPr>
          <w:rFonts w:ascii="Times New Roman" w:eastAsia="Times New Roman" w:hAnsi="Times New Roman" w:cs="Times New Roman"/>
          <w:color w:val="999999"/>
          <w:sz w:val="28"/>
          <w:szCs w:val="28"/>
        </w:rPr>
        <w:t>, </w:t>
      </w:r>
      <w:hyperlink r:id="rId8" w:history="1">
        <w:r w:rsidRPr="0036641B">
          <w:rPr>
            <w:rFonts w:ascii="Times New Roman" w:eastAsia="Times New Roman" w:hAnsi="Times New Roman" w:cs="Times New Roman"/>
            <w:color w:val="999999"/>
            <w:sz w:val="28"/>
            <w:szCs w:val="28"/>
          </w:rPr>
          <w:t>FDA - ADR - Cảnh giác dược</w:t>
        </w:r>
      </w:hyperlink>
      <w:r w:rsidRPr="0036641B">
        <w:rPr>
          <w:rFonts w:ascii="Times New Roman" w:eastAsia="Times New Roman" w:hAnsi="Times New Roman" w:cs="Times New Roman"/>
          <w:color w:val="999999"/>
          <w:sz w:val="28"/>
          <w:szCs w:val="28"/>
        </w:rPr>
        <w:t>, </w:t>
      </w:r>
      <w:hyperlink r:id="rId9" w:history="1">
        <w:r w:rsidRPr="0036641B">
          <w:rPr>
            <w:rFonts w:ascii="Times New Roman" w:eastAsia="Times New Roman" w:hAnsi="Times New Roman" w:cs="Times New Roman"/>
            <w:color w:val="999999"/>
            <w:sz w:val="28"/>
            <w:szCs w:val="28"/>
          </w:rPr>
          <w:t>Uncategorized</w:t>
        </w:r>
      </w:hyperlink>
      <w:r w:rsidRPr="00555D21">
        <w:rPr>
          <w:rFonts w:ascii="Times New Roman" w:eastAsia="Times New Roman" w:hAnsi="Times New Roman" w:cs="Times New Roman"/>
          <w:color w:val="999999"/>
          <w:sz w:val="28"/>
          <w:szCs w:val="28"/>
        </w:rPr>
        <w:t> </w:t>
      </w:r>
      <w:r w:rsidRPr="0036641B">
        <w:rPr>
          <w:rFonts w:ascii="Times New Roman" w:eastAsia="Times New Roman" w:hAnsi="Times New Roman" w:cs="Times New Roman"/>
          <w:color w:val="999999"/>
          <w:sz w:val="28"/>
          <w:szCs w:val="28"/>
        </w:rPr>
        <w:t> </w:t>
      </w:r>
      <w:hyperlink r:id="rId10" w:anchor="respond" w:history="1">
        <w:r w:rsidRPr="0036641B">
          <w:rPr>
            <w:rFonts w:ascii="Times New Roman" w:eastAsia="Times New Roman" w:hAnsi="Times New Roman" w:cs="Times New Roman"/>
            <w:color w:val="999999"/>
            <w:sz w:val="28"/>
            <w:szCs w:val="28"/>
          </w:rPr>
          <w:t>0 Comments</w:t>
        </w:r>
      </w:hyperlink>
    </w:p>
    <w:p w:rsidR="00555D21" w:rsidRPr="00555D21" w:rsidRDefault="00555D21" w:rsidP="00555D21">
      <w:pPr>
        <w:spacing w:after="0" w:line="330" w:lineRule="atLeast"/>
        <w:jc w:val="both"/>
        <w:rPr>
          <w:rFonts w:ascii="Times New Roman" w:eastAsia="Times New Roman" w:hAnsi="Times New Roman" w:cs="Times New Roman"/>
          <w:color w:val="353535"/>
          <w:sz w:val="28"/>
          <w:szCs w:val="28"/>
        </w:rPr>
      </w:pPr>
      <w:r w:rsidRPr="0036641B">
        <w:rPr>
          <w:rFonts w:ascii="Times New Roman" w:eastAsia="Times New Roman" w:hAnsi="Times New Roman" w:cs="Times New Roman"/>
          <w:i/>
          <w:iCs/>
          <w:color w:val="353535"/>
          <w:sz w:val="28"/>
          <w:szCs w:val="28"/>
        </w:rPr>
        <w:t>BS.Lê Đỗ Thúy Diễm</w:t>
      </w:r>
    </w:p>
    <w:p w:rsidR="00555D21" w:rsidRPr="00555D21" w:rsidRDefault="00555D21" w:rsidP="00555D21">
      <w:pPr>
        <w:spacing w:after="0" w:line="330" w:lineRule="atLeast"/>
        <w:jc w:val="both"/>
        <w:rPr>
          <w:rFonts w:ascii="Times New Roman" w:eastAsia="Times New Roman" w:hAnsi="Times New Roman" w:cs="Times New Roman"/>
          <w:color w:val="353535"/>
          <w:sz w:val="28"/>
          <w:szCs w:val="28"/>
        </w:rPr>
      </w:pPr>
      <w:r w:rsidRPr="0036641B">
        <w:rPr>
          <w:rFonts w:ascii="Times New Roman" w:eastAsia="Times New Roman" w:hAnsi="Times New Roman" w:cs="Times New Roman"/>
          <w:b/>
          <w:bCs/>
          <w:color w:val="353535"/>
          <w:sz w:val="28"/>
          <w:szCs w:val="28"/>
        </w:rPr>
        <w:t xml:space="preserve">Giới thiệu </w:t>
      </w:r>
      <w:proofErr w:type="gramStart"/>
      <w:r w:rsidRPr="0036641B">
        <w:rPr>
          <w:rFonts w:ascii="Times New Roman" w:eastAsia="Times New Roman" w:hAnsi="Times New Roman" w:cs="Times New Roman"/>
          <w:b/>
          <w:bCs/>
          <w:color w:val="353535"/>
          <w:sz w:val="28"/>
          <w:szCs w:val="28"/>
        </w:rPr>
        <w:t>chung</w:t>
      </w:r>
      <w:proofErr w:type="gramEnd"/>
    </w:p>
    <w:p w:rsidR="00555D21" w:rsidRPr="00555D21" w:rsidRDefault="00555D21" w:rsidP="00555D21">
      <w:pPr>
        <w:spacing w:after="300" w:line="330" w:lineRule="atLeast"/>
        <w:jc w:val="both"/>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xml:space="preserve">Một trong những vấn đề khi thực hành sử dụng thuốc trên lâm sàng cần quan tâm đó là tác dụng có hại của thuốc (ADR) trên người bệnh. </w:t>
      </w:r>
      <w:proofErr w:type="gramStart"/>
      <w:r w:rsidRPr="00555D21">
        <w:rPr>
          <w:rFonts w:ascii="Times New Roman" w:eastAsia="Times New Roman" w:hAnsi="Times New Roman" w:cs="Times New Roman"/>
          <w:color w:val="353535"/>
          <w:sz w:val="28"/>
          <w:szCs w:val="28"/>
        </w:rPr>
        <w:t>Hiện nay tại Việt Nam, việc báo cáo các ADR đã diễn ra ngày càng thường xuyên hơn chứng tỏ nhân viên y tế đã dành nhiều quan tâm đặc biệt cho vấn đề này.</w:t>
      </w:r>
      <w:proofErr w:type="gramEnd"/>
      <w:r w:rsidRPr="00555D21">
        <w:rPr>
          <w:rFonts w:ascii="Times New Roman" w:eastAsia="Times New Roman" w:hAnsi="Times New Roman" w:cs="Times New Roman"/>
          <w:color w:val="353535"/>
          <w:sz w:val="28"/>
          <w:szCs w:val="28"/>
        </w:rPr>
        <w:t xml:space="preserve"> Bởi vì ADR xảy ra trên người bệnh khó có thể quy kết do nguyên nhân gì, </w:t>
      </w:r>
      <w:proofErr w:type="gramStart"/>
      <w:r w:rsidRPr="00555D21">
        <w:rPr>
          <w:rFonts w:ascii="Times New Roman" w:eastAsia="Times New Roman" w:hAnsi="Times New Roman" w:cs="Times New Roman"/>
          <w:color w:val="353535"/>
          <w:sz w:val="28"/>
          <w:szCs w:val="28"/>
        </w:rPr>
        <w:t>do</w:t>
      </w:r>
      <w:proofErr w:type="gramEnd"/>
      <w:r w:rsidRPr="00555D21">
        <w:rPr>
          <w:rFonts w:ascii="Times New Roman" w:eastAsia="Times New Roman" w:hAnsi="Times New Roman" w:cs="Times New Roman"/>
          <w:color w:val="353535"/>
          <w:sz w:val="28"/>
          <w:szCs w:val="28"/>
        </w:rPr>
        <w:t xml:space="preserve"> bệnh hay do thuốc? </w:t>
      </w:r>
      <w:proofErr w:type="gramStart"/>
      <w:r w:rsidRPr="00555D21">
        <w:rPr>
          <w:rFonts w:ascii="Times New Roman" w:eastAsia="Times New Roman" w:hAnsi="Times New Roman" w:cs="Times New Roman"/>
          <w:color w:val="353535"/>
          <w:sz w:val="28"/>
          <w:szCs w:val="28"/>
        </w:rPr>
        <w:t>Điều này đòi hỏi các bác sĩ, dược sĩ phải có nhiều kinh nghiệm trong chẩn đoán, điều trị và dùng thuốc mới có thể xác định được.</w:t>
      </w:r>
      <w:proofErr w:type="gramEnd"/>
    </w:p>
    <w:p w:rsidR="00555D21" w:rsidRPr="00555D21" w:rsidRDefault="00555D21" w:rsidP="00555D21">
      <w:pPr>
        <w:spacing w:after="300" w:line="330" w:lineRule="atLeast"/>
        <w:jc w:val="both"/>
        <w:rPr>
          <w:rFonts w:ascii="Times New Roman" w:eastAsia="Times New Roman" w:hAnsi="Times New Roman" w:cs="Times New Roman"/>
          <w:color w:val="353535"/>
          <w:sz w:val="28"/>
          <w:szCs w:val="28"/>
        </w:rPr>
      </w:pPr>
      <w:proofErr w:type="gramStart"/>
      <w:r w:rsidRPr="00555D21">
        <w:rPr>
          <w:rFonts w:ascii="Times New Roman" w:eastAsia="Times New Roman" w:hAnsi="Times New Roman" w:cs="Times New Roman"/>
          <w:color w:val="353535"/>
          <w:sz w:val="28"/>
          <w:szCs w:val="28"/>
        </w:rPr>
        <w:t>Trên thực tế việc dùng thuốc tại Việt Nam, kháng sinh là nhóm thuốc được dùng phổ biến nhất và trong đó, kháng sinh nhóm beta-lactam được sử dụng nhiều nhất.</w:t>
      </w:r>
      <w:proofErr w:type="gramEnd"/>
      <w:r w:rsidRPr="00555D21">
        <w:rPr>
          <w:rFonts w:ascii="Times New Roman" w:eastAsia="Times New Roman" w:hAnsi="Times New Roman" w:cs="Times New Roman"/>
          <w:color w:val="353535"/>
          <w:sz w:val="28"/>
          <w:szCs w:val="28"/>
        </w:rPr>
        <w:t xml:space="preserve"> Vì lẽ đó có thể dễ hiểu rằng, kháng </w:t>
      </w:r>
      <w:proofErr w:type="gramStart"/>
      <w:r w:rsidRPr="00555D21">
        <w:rPr>
          <w:rFonts w:ascii="Times New Roman" w:eastAsia="Times New Roman" w:hAnsi="Times New Roman" w:cs="Times New Roman"/>
          <w:color w:val="353535"/>
          <w:sz w:val="28"/>
          <w:szCs w:val="28"/>
        </w:rPr>
        <w:t>sinh  là</w:t>
      </w:r>
      <w:proofErr w:type="gramEnd"/>
      <w:r w:rsidRPr="00555D21">
        <w:rPr>
          <w:rFonts w:ascii="Times New Roman" w:eastAsia="Times New Roman" w:hAnsi="Times New Roman" w:cs="Times New Roman"/>
          <w:color w:val="353535"/>
          <w:sz w:val="28"/>
          <w:szCs w:val="28"/>
        </w:rPr>
        <w:t xml:space="preserve"> một trong những nhóm thuốc hay gây ra ADR. Tuy nhiên trên thực tế, một số ADR trên cơ quan tạo máu như gây giảm tiểu cầu, tăng tiểu cầu do thuốc nói </w:t>
      </w:r>
      <w:proofErr w:type="gramStart"/>
      <w:r w:rsidRPr="00555D21">
        <w:rPr>
          <w:rFonts w:ascii="Times New Roman" w:eastAsia="Times New Roman" w:hAnsi="Times New Roman" w:cs="Times New Roman"/>
          <w:color w:val="353535"/>
          <w:sz w:val="28"/>
          <w:szCs w:val="28"/>
        </w:rPr>
        <w:t>chung</w:t>
      </w:r>
      <w:proofErr w:type="gramEnd"/>
      <w:r w:rsidRPr="00555D21">
        <w:rPr>
          <w:rFonts w:ascii="Times New Roman" w:eastAsia="Times New Roman" w:hAnsi="Times New Roman" w:cs="Times New Roman"/>
          <w:color w:val="353535"/>
          <w:sz w:val="28"/>
          <w:szCs w:val="28"/>
        </w:rPr>
        <w:t xml:space="preserve"> và kháng sinh nói riêng chưa có nhiều thông tin. </w:t>
      </w:r>
      <w:proofErr w:type="gramStart"/>
      <w:r w:rsidRPr="00555D21">
        <w:rPr>
          <w:rFonts w:ascii="Times New Roman" w:eastAsia="Times New Roman" w:hAnsi="Times New Roman" w:cs="Times New Roman"/>
          <w:color w:val="353535"/>
          <w:sz w:val="28"/>
          <w:szCs w:val="28"/>
        </w:rPr>
        <w:t>Trên các báo cáo y văn, rất ít tài liệu nói về vấn đề này.</w:t>
      </w:r>
      <w:proofErr w:type="gramEnd"/>
      <w:r w:rsidRPr="00555D21">
        <w:rPr>
          <w:rFonts w:ascii="Times New Roman" w:eastAsia="Times New Roman" w:hAnsi="Times New Roman" w:cs="Times New Roman"/>
          <w:color w:val="353535"/>
          <w:sz w:val="28"/>
          <w:szCs w:val="28"/>
        </w:rPr>
        <w:t xml:space="preserve"> Và càng ít hơn nữa, đó là các hướng dẫn </w:t>
      </w:r>
      <w:proofErr w:type="gramStart"/>
      <w:r w:rsidRPr="00555D21">
        <w:rPr>
          <w:rFonts w:ascii="Times New Roman" w:eastAsia="Times New Roman" w:hAnsi="Times New Roman" w:cs="Times New Roman"/>
          <w:color w:val="353535"/>
          <w:sz w:val="28"/>
          <w:szCs w:val="28"/>
        </w:rPr>
        <w:t>theo</w:t>
      </w:r>
      <w:proofErr w:type="gramEnd"/>
      <w:r w:rsidRPr="00555D21">
        <w:rPr>
          <w:rFonts w:ascii="Times New Roman" w:eastAsia="Times New Roman" w:hAnsi="Times New Roman" w:cs="Times New Roman"/>
          <w:color w:val="353535"/>
          <w:sz w:val="28"/>
          <w:szCs w:val="28"/>
        </w:rPr>
        <w:t xml:space="preserve"> dõi, phát hiện và xử trí để người thầy thuốc có thể nắm chắc được vấn đề và thực hành một cách trôi chảy. </w:t>
      </w:r>
      <w:proofErr w:type="gramStart"/>
      <w:r w:rsidRPr="00555D21">
        <w:rPr>
          <w:rFonts w:ascii="Times New Roman" w:eastAsia="Times New Roman" w:hAnsi="Times New Roman" w:cs="Times New Roman"/>
          <w:color w:val="353535"/>
          <w:sz w:val="28"/>
          <w:szCs w:val="28"/>
        </w:rPr>
        <w:t>Bài viết này với mong muốn đóng góp vào khoảng trống dữ liệu này.</w:t>
      </w:r>
      <w:proofErr w:type="gramEnd"/>
    </w:p>
    <w:p w:rsidR="00555D21" w:rsidRPr="00555D21" w:rsidRDefault="00555D21" w:rsidP="00555D21">
      <w:pPr>
        <w:numPr>
          <w:ilvl w:val="0"/>
          <w:numId w:val="1"/>
        </w:numPr>
        <w:spacing w:after="0" w:line="330" w:lineRule="atLeast"/>
        <w:ind w:left="456"/>
        <w:jc w:val="both"/>
        <w:rPr>
          <w:rFonts w:ascii="Times New Roman" w:eastAsia="Times New Roman" w:hAnsi="Times New Roman" w:cs="Times New Roman"/>
          <w:color w:val="555555"/>
          <w:sz w:val="28"/>
          <w:szCs w:val="28"/>
        </w:rPr>
      </w:pPr>
      <w:r w:rsidRPr="0036641B">
        <w:rPr>
          <w:rFonts w:ascii="Times New Roman" w:eastAsia="Times New Roman" w:hAnsi="Times New Roman" w:cs="Times New Roman"/>
          <w:b/>
          <w:bCs/>
          <w:color w:val="555555"/>
          <w:sz w:val="28"/>
          <w:szCs w:val="28"/>
        </w:rPr>
        <w:t>Các kháng sinh ảnh hưởng đến số lượng tiểu cầu đã được ghi nhận</w:t>
      </w:r>
    </w:p>
    <w:p w:rsidR="00555D21" w:rsidRPr="00555D21" w:rsidRDefault="00555D21" w:rsidP="00555D21">
      <w:pPr>
        <w:spacing w:after="300" w:line="330" w:lineRule="atLeast"/>
        <w:jc w:val="both"/>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Bảng 1: Các nhóm kháng sinh và khả năng ảnh hưởng trên tiểu cầu đã được ghi nhận và mức độ thường gặp của chúng (8)</w:t>
      </w:r>
    </w:p>
    <w:tbl>
      <w:tblPr>
        <w:tblW w:w="10020" w:type="dxa"/>
        <w:tblCellMar>
          <w:left w:w="0" w:type="dxa"/>
          <w:right w:w="0" w:type="dxa"/>
        </w:tblCellMar>
        <w:tblLook w:val="04A0" w:firstRow="1" w:lastRow="0" w:firstColumn="1" w:lastColumn="0" w:noHBand="0" w:noVBand="1"/>
      </w:tblPr>
      <w:tblGrid>
        <w:gridCol w:w="3334"/>
        <w:gridCol w:w="2137"/>
        <w:gridCol w:w="4549"/>
      </w:tblGrid>
      <w:tr w:rsidR="00555D21" w:rsidRPr="00555D21" w:rsidTr="00555D21">
        <w:tc>
          <w:tcPr>
            <w:tcW w:w="309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36641B">
              <w:rPr>
                <w:rFonts w:ascii="Times New Roman" w:eastAsia="Times New Roman" w:hAnsi="Times New Roman" w:cs="Times New Roman"/>
                <w:b/>
                <w:bCs/>
                <w:sz w:val="28"/>
                <w:szCs w:val="28"/>
              </w:rPr>
              <w:t>Nhóm</w:t>
            </w:r>
          </w:p>
        </w:tc>
        <w:tc>
          <w:tcPr>
            <w:tcW w:w="198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36641B">
              <w:rPr>
                <w:rFonts w:ascii="Times New Roman" w:eastAsia="Times New Roman" w:hAnsi="Times New Roman" w:cs="Times New Roman"/>
                <w:b/>
                <w:bCs/>
                <w:sz w:val="28"/>
                <w:szCs w:val="28"/>
              </w:rPr>
              <w:t>Ảnh hưởng trên tiểu cầu</w:t>
            </w:r>
          </w:p>
        </w:tc>
        <w:tc>
          <w:tcPr>
            <w:tcW w:w="4215"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36641B">
              <w:rPr>
                <w:rFonts w:ascii="Times New Roman" w:eastAsia="Times New Roman" w:hAnsi="Times New Roman" w:cs="Times New Roman"/>
                <w:b/>
                <w:bCs/>
                <w:sz w:val="28"/>
                <w:szCs w:val="28"/>
              </w:rPr>
              <w:t>Tỉ lệ gặp</w:t>
            </w:r>
          </w:p>
        </w:tc>
      </w:tr>
      <w:tr w:rsidR="00555D21" w:rsidRPr="00555D21" w:rsidTr="00555D21">
        <w:tc>
          <w:tcPr>
            <w:tcW w:w="309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Beta Lactam</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Penicilline</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Cephalosporine</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Carbapenem</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lastRenderedPageBreak/>
              <w:t>– Monobactam</w:t>
            </w:r>
          </w:p>
        </w:tc>
        <w:tc>
          <w:tcPr>
            <w:tcW w:w="198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lastRenderedPageBreak/>
              <w:t>Giảm</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(Tăng tiểu cầu gặp ở Cefazolin, Cefpirom, Ertapenem)</w:t>
            </w:r>
          </w:p>
        </w:tc>
        <w:tc>
          <w:tcPr>
            <w:tcW w:w="4215"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   Amoxicillin &lt; 1/1000</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Penicillin V không gặp</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Penicillin G không gặp</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Cefalexin &lt; 1/1000</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lastRenderedPageBreak/>
              <w:t>·   Cefazolin có thể giảm hoặc tăng tiểu cầu (không rõ tỉ lệ)</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Cefadroxil &lt; 1/1000</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Cefalotin &lt; 1/1000</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Cefaclor &lt; 1/1000</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Cefuroxim không rõ</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1/1000 &lt; Cefixim &lt; 1/100</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Cefotaxim &lt; 1/1000</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1/1000 &lt; Ceftriaxon &lt; 1/100</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1/1000 &lt; Ceftazidim &lt; 1/100</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Cefepim không gặp</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1/1000 &lt; Cefpirom &lt; 1/100</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Ticarcillin không gặp</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Piperacillin không gặp</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1/1000 &lt; Meropenem &lt; 1/100</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1/1000 &lt; Imipenem &lt; 1/100</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Ertapenem tăng hoặc giảm với tỉ lệ gặp ≥ 1/100</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1/1000 &lt; Doripenem &lt; 1/100</w:t>
            </w:r>
          </w:p>
        </w:tc>
      </w:tr>
      <w:tr w:rsidR="00555D21" w:rsidRPr="00555D21" w:rsidTr="00555D21">
        <w:tc>
          <w:tcPr>
            <w:tcW w:w="309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lastRenderedPageBreak/>
              <w:t>Glycopeptide</w:t>
            </w:r>
          </w:p>
        </w:tc>
        <w:tc>
          <w:tcPr>
            <w:tcW w:w="198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Giảm</w:t>
            </w:r>
          </w:p>
        </w:tc>
        <w:tc>
          <w:tcPr>
            <w:tcW w:w="4215"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   Vancomycin &lt; 1/100</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1/1000 &lt; Teicoplanin &lt; 1/100</w:t>
            </w:r>
          </w:p>
        </w:tc>
      </w:tr>
      <w:tr w:rsidR="00555D21" w:rsidRPr="00555D21" w:rsidTr="00555D21">
        <w:tc>
          <w:tcPr>
            <w:tcW w:w="309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lastRenderedPageBreak/>
              <w:t>Fosfomycin</w:t>
            </w:r>
          </w:p>
        </w:tc>
        <w:tc>
          <w:tcPr>
            <w:tcW w:w="198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Không</w:t>
            </w:r>
          </w:p>
        </w:tc>
        <w:tc>
          <w:tcPr>
            <w:tcW w:w="4215"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p>
        </w:tc>
      </w:tr>
      <w:tr w:rsidR="00555D21" w:rsidRPr="00555D21" w:rsidTr="00555D21">
        <w:tc>
          <w:tcPr>
            <w:tcW w:w="309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Polymycin</w:t>
            </w:r>
          </w:p>
        </w:tc>
        <w:tc>
          <w:tcPr>
            <w:tcW w:w="198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Không</w:t>
            </w:r>
          </w:p>
        </w:tc>
        <w:tc>
          <w:tcPr>
            <w:tcW w:w="4215"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p>
        </w:tc>
      </w:tr>
      <w:tr w:rsidR="00555D21" w:rsidRPr="00555D21" w:rsidTr="00555D21">
        <w:tc>
          <w:tcPr>
            <w:tcW w:w="309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Macrolide</w:t>
            </w:r>
          </w:p>
        </w:tc>
        <w:tc>
          <w:tcPr>
            <w:tcW w:w="198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Không</w:t>
            </w:r>
          </w:p>
        </w:tc>
        <w:tc>
          <w:tcPr>
            <w:tcW w:w="4215"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p>
        </w:tc>
      </w:tr>
      <w:tr w:rsidR="00555D21" w:rsidRPr="00555D21" w:rsidTr="00555D21">
        <w:tc>
          <w:tcPr>
            <w:tcW w:w="309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Aminoside</w:t>
            </w:r>
          </w:p>
        </w:tc>
        <w:tc>
          <w:tcPr>
            <w:tcW w:w="198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Giảm</w:t>
            </w:r>
          </w:p>
        </w:tc>
        <w:tc>
          <w:tcPr>
            <w:tcW w:w="4215"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   Amikacin &lt; 1/1000</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Gentamicin không gặp</w:t>
            </w:r>
          </w:p>
        </w:tc>
      </w:tr>
      <w:tr w:rsidR="00555D21" w:rsidRPr="00555D21" w:rsidTr="00555D21">
        <w:tc>
          <w:tcPr>
            <w:tcW w:w="309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Phenicol</w:t>
            </w:r>
          </w:p>
        </w:tc>
        <w:tc>
          <w:tcPr>
            <w:tcW w:w="198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Giảm</w:t>
            </w:r>
          </w:p>
        </w:tc>
        <w:tc>
          <w:tcPr>
            <w:tcW w:w="4215"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1/1000 &lt; Cloramphenicol &lt; 1/100</w:t>
            </w:r>
          </w:p>
        </w:tc>
      </w:tr>
      <w:tr w:rsidR="00555D21" w:rsidRPr="00555D21" w:rsidTr="00555D21">
        <w:tc>
          <w:tcPr>
            <w:tcW w:w="309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Tetracyclin</w:t>
            </w:r>
          </w:p>
        </w:tc>
        <w:tc>
          <w:tcPr>
            <w:tcW w:w="198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Giảm</w:t>
            </w:r>
          </w:p>
        </w:tc>
        <w:tc>
          <w:tcPr>
            <w:tcW w:w="4215"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Tetracyclin &lt; 1/1000</w:t>
            </w:r>
          </w:p>
        </w:tc>
      </w:tr>
      <w:tr w:rsidR="00555D21" w:rsidRPr="00555D21" w:rsidTr="00555D21">
        <w:tc>
          <w:tcPr>
            <w:tcW w:w="309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Quinolone</w:t>
            </w:r>
          </w:p>
        </w:tc>
        <w:tc>
          <w:tcPr>
            <w:tcW w:w="198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Giảm</w:t>
            </w:r>
          </w:p>
        </w:tc>
        <w:tc>
          <w:tcPr>
            <w:tcW w:w="4215"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   Acid nalidixic &lt; 1/1000</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1/1000 &lt; Ciprofloxacin &lt; 1/100</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Pefloxacin tần suất không xác định</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Norfloxacin không gặp</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Ofloxacin không gặp</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Levofloxacin không gặp</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Moxifloxacin không gặp</w:t>
            </w:r>
          </w:p>
          <w:p w:rsidR="00555D21" w:rsidRPr="00555D21" w:rsidRDefault="00555D21" w:rsidP="00555D21">
            <w:pPr>
              <w:spacing w:after="300" w:line="240" w:lineRule="auto"/>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Gatifloxacin</w:t>
            </w:r>
          </w:p>
        </w:tc>
      </w:tr>
      <w:tr w:rsidR="00555D21" w:rsidRPr="00555D21" w:rsidTr="00555D21">
        <w:tc>
          <w:tcPr>
            <w:tcW w:w="309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Rifampicin</w:t>
            </w:r>
          </w:p>
        </w:tc>
        <w:tc>
          <w:tcPr>
            <w:tcW w:w="198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Giảm</w:t>
            </w:r>
          </w:p>
        </w:tc>
        <w:tc>
          <w:tcPr>
            <w:tcW w:w="4215"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Rifampicin &lt; 1/1000</w:t>
            </w:r>
          </w:p>
        </w:tc>
      </w:tr>
      <w:tr w:rsidR="00555D21" w:rsidRPr="00555D21" w:rsidTr="00555D21">
        <w:tc>
          <w:tcPr>
            <w:tcW w:w="309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Cotrimoxazole</w:t>
            </w:r>
          </w:p>
        </w:tc>
        <w:tc>
          <w:tcPr>
            <w:tcW w:w="198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Có</w:t>
            </w:r>
          </w:p>
        </w:tc>
        <w:tc>
          <w:tcPr>
            <w:tcW w:w="4215"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Cotrimoxazole &lt; 1/1000</w:t>
            </w:r>
          </w:p>
        </w:tc>
      </w:tr>
    </w:tbl>
    <w:p w:rsidR="00555D21" w:rsidRPr="00555D21" w:rsidRDefault="00555D21" w:rsidP="00555D21">
      <w:pPr>
        <w:numPr>
          <w:ilvl w:val="0"/>
          <w:numId w:val="2"/>
        </w:numPr>
        <w:spacing w:after="0" w:line="330" w:lineRule="atLeast"/>
        <w:ind w:left="456"/>
        <w:jc w:val="both"/>
        <w:rPr>
          <w:rFonts w:ascii="Times New Roman" w:eastAsia="Times New Roman" w:hAnsi="Times New Roman" w:cs="Times New Roman"/>
          <w:color w:val="555555"/>
          <w:sz w:val="28"/>
          <w:szCs w:val="28"/>
        </w:rPr>
      </w:pPr>
      <w:r w:rsidRPr="0036641B">
        <w:rPr>
          <w:rFonts w:ascii="Times New Roman" w:eastAsia="Times New Roman" w:hAnsi="Times New Roman" w:cs="Times New Roman"/>
          <w:b/>
          <w:bCs/>
          <w:color w:val="555555"/>
          <w:sz w:val="28"/>
          <w:szCs w:val="28"/>
        </w:rPr>
        <w:t>Giảm tiểu cầu do kháng sinh</w:t>
      </w:r>
    </w:p>
    <w:p w:rsidR="00555D21" w:rsidRPr="00555D21" w:rsidRDefault="00555D21" w:rsidP="00555D21">
      <w:pPr>
        <w:spacing w:after="300" w:line="330" w:lineRule="atLeast"/>
        <w:jc w:val="both"/>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Giảm tiểu cầu trên lâm sàng gồm những trường hợp sau (18):</w:t>
      </w:r>
    </w:p>
    <w:p w:rsidR="00555D21" w:rsidRPr="00555D21" w:rsidRDefault="00555D21" w:rsidP="00555D21">
      <w:pPr>
        <w:numPr>
          <w:ilvl w:val="0"/>
          <w:numId w:val="3"/>
        </w:numPr>
        <w:spacing w:after="75" w:line="330" w:lineRule="atLeast"/>
        <w:ind w:left="456"/>
        <w:jc w:val="both"/>
        <w:rPr>
          <w:rFonts w:ascii="Times New Roman" w:eastAsia="Times New Roman" w:hAnsi="Times New Roman" w:cs="Times New Roman"/>
          <w:color w:val="555555"/>
          <w:sz w:val="28"/>
          <w:szCs w:val="28"/>
        </w:rPr>
      </w:pPr>
      <w:r w:rsidRPr="00555D21">
        <w:rPr>
          <w:rFonts w:ascii="Times New Roman" w:eastAsia="Times New Roman" w:hAnsi="Times New Roman" w:cs="Times New Roman"/>
          <w:color w:val="555555"/>
          <w:sz w:val="28"/>
          <w:szCs w:val="28"/>
        </w:rPr>
        <w:t xml:space="preserve">Giảm tiểu cầu giả (Pseudothrombocytopenia): Giảm tiểu cầu giả là một trường hợp khi có kết quả xét nghiệm tiểu cầu giảm nhưng không phù hợp lâm sàng có thể do tiểu cầu đã bị đóng cục do phản ứng với EDTA. Để phát hiện giảm tiểu cầu giả có thể lặp lại xét nghiệm đếm số lượng tiểu cầu với một mẫu máu mới hoặc phết máu ngoại </w:t>
      </w:r>
      <w:proofErr w:type="gramStart"/>
      <w:r w:rsidRPr="00555D21">
        <w:rPr>
          <w:rFonts w:ascii="Times New Roman" w:eastAsia="Times New Roman" w:hAnsi="Times New Roman" w:cs="Times New Roman"/>
          <w:color w:val="555555"/>
          <w:sz w:val="28"/>
          <w:szCs w:val="28"/>
        </w:rPr>
        <w:t>vi</w:t>
      </w:r>
      <w:proofErr w:type="gramEnd"/>
      <w:r w:rsidRPr="00555D21">
        <w:rPr>
          <w:rFonts w:ascii="Times New Roman" w:eastAsia="Times New Roman" w:hAnsi="Times New Roman" w:cs="Times New Roman"/>
          <w:color w:val="555555"/>
          <w:sz w:val="28"/>
          <w:szCs w:val="28"/>
        </w:rPr>
        <w:t>. Thông thường, mẫu máu được lấy cho vào ống nghiệm có chứa chất chống đông không phải EDTA (ví dụ Citrate).</w:t>
      </w:r>
    </w:p>
    <w:p w:rsidR="00555D21" w:rsidRPr="00555D21" w:rsidRDefault="00555D21" w:rsidP="00555D21">
      <w:pPr>
        <w:numPr>
          <w:ilvl w:val="0"/>
          <w:numId w:val="3"/>
        </w:numPr>
        <w:spacing w:after="75" w:line="330" w:lineRule="atLeast"/>
        <w:ind w:left="456"/>
        <w:jc w:val="both"/>
        <w:rPr>
          <w:rFonts w:ascii="Times New Roman" w:eastAsia="Times New Roman" w:hAnsi="Times New Roman" w:cs="Times New Roman"/>
          <w:color w:val="555555"/>
          <w:sz w:val="28"/>
          <w:szCs w:val="28"/>
        </w:rPr>
      </w:pPr>
      <w:r w:rsidRPr="00555D21">
        <w:rPr>
          <w:rFonts w:ascii="Times New Roman" w:eastAsia="Times New Roman" w:hAnsi="Times New Roman" w:cs="Times New Roman"/>
          <w:color w:val="555555"/>
          <w:sz w:val="28"/>
          <w:szCs w:val="28"/>
        </w:rPr>
        <w:lastRenderedPageBreak/>
        <w:t>Giảm tiểu cầu: Được xác định khi số lượng tiểu cầu ở mức dưới giới hạn bình thường (≤ 150 000 /microL). Một số bệnh nhân có giá trị bình thường ở mức thấp hơn giá trị này một chút nhưng là bình thường với bệnh nhân đó và có thể không cần phải can thiệp gì. Nếu bệnh nhân có mức giảm đáng kể số lượng tiểu cầu, cần lặp lại việc đếm số lượng tiểu cầu trong 1-2 ngày để xác định xem có xu hướng giảm hay không.</w:t>
      </w:r>
    </w:p>
    <w:p w:rsidR="00555D21" w:rsidRPr="00555D21" w:rsidRDefault="00555D21" w:rsidP="00555D21">
      <w:pPr>
        <w:numPr>
          <w:ilvl w:val="0"/>
          <w:numId w:val="3"/>
        </w:numPr>
        <w:spacing w:after="75" w:line="330" w:lineRule="atLeast"/>
        <w:ind w:left="456"/>
        <w:jc w:val="both"/>
        <w:rPr>
          <w:rFonts w:ascii="Times New Roman" w:eastAsia="Times New Roman" w:hAnsi="Times New Roman" w:cs="Times New Roman"/>
          <w:color w:val="555555"/>
          <w:sz w:val="28"/>
          <w:szCs w:val="28"/>
        </w:rPr>
      </w:pPr>
      <w:r w:rsidRPr="00555D21">
        <w:rPr>
          <w:rFonts w:ascii="Times New Roman" w:eastAsia="Times New Roman" w:hAnsi="Times New Roman" w:cs="Times New Roman"/>
          <w:color w:val="555555"/>
          <w:sz w:val="28"/>
          <w:szCs w:val="28"/>
        </w:rPr>
        <w:t>Giảm tiểu cầu miễn dịch nguyên phát (ITP – Primary Immune thrombocytopenia): Là một hiện tượng tự miễn không có nguyên nhân rõ ràng.</w:t>
      </w:r>
    </w:p>
    <w:p w:rsidR="00555D21" w:rsidRPr="00555D21" w:rsidRDefault="00555D21" w:rsidP="00555D21">
      <w:pPr>
        <w:numPr>
          <w:ilvl w:val="0"/>
          <w:numId w:val="3"/>
        </w:numPr>
        <w:spacing w:after="75" w:line="330" w:lineRule="atLeast"/>
        <w:ind w:left="456"/>
        <w:jc w:val="both"/>
        <w:rPr>
          <w:rFonts w:ascii="Times New Roman" w:eastAsia="Times New Roman" w:hAnsi="Times New Roman" w:cs="Times New Roman"/>
          <w:color w:val="555555"/>
          <w:sz w:val="28"/>
          <w:szCs w:val="28"/>
        </w:rPr>
      </w:pPr>
      <w:r w:rsidRPr="00555D21">
        <w:rPr>
          <w:rFonts w:ascii="Times New Roman" w:eastAsia="Times New Roman" w:hAnsi="Times New Roman" w:cs="Times New Roman"/>
          <w:color w:val="555555"/>
          <w:sz w:val="28"/>
          <w:szCs w:val="28"/>
        </w:rPr>
        <w:t>Giảm tiểu cầu miễn dịch do thuốc (DITP – Drugs ITP): DITP là một hình thức thứ cấp của ITP gây ra do thuốc (hoặc chất chuyển hóa của nó) qua trung gian kháng thể.</w:t>
      </w:r>
    </w:p>
    <w:p w:rsidR="00555D21" w:rsidRPr="00555D21" w:rsidRDefault="00555D21" w:rsidP="00555D21">
      <w:pPr>
        <w:numPr>
          <w:ilvl w:val="0"/>
          <w:numId w:val="3"/>
        </w:numPr>
        <w:spacing w:after="75" w:line="330" w:lineRule="atLeast"/>
        <w:ind w:left="456"/>
        <w:jc w:val="both"/>
        <w:rPr>
          <w:rFonts w:ascii="Times New Roman" w:eastAsia="Times New Roman" w:hAnsi="Times New Roman" w:cs="Times New Roman"/>
          <w:color w:val="555555"/>
          <w:sz w:val="28"/>
          <w:szCs w:val="28"/>
        </w:rPr>
      </w:pPr>
      <w:r w:rsidRPr="00555D21">
        <w:rPr>
          <w:rFonts w:ascii="Times New Roman" w:eastAsia="Times New Roman" w:hAnsi="Times New Roman" w:cs="Times New Roman"/>
          <w:color w:val="555555"/>
          <w:sz w:val="28"/>
          <w:szCs w:val="28"/>
        </w:rPr>
        <w:t>Giảm tiểu cầu do thuốc không qua cơ chế miễn dịch: Nhiều loại thuốc điều trị có thể gây ra giảm tiểu cầu do khả năng ức chế tủy xương của thuốc.</w:t>
      </w:r>
    </w:p>
    <w:p w:rsidR="00555D21" w:rsidRPr="00555D21" w:rsidRDefault="00555D21" w:rsidP="00555D21">
      <w:pPr>
        <w:numPr>
          <w:ilvl w:val="0"/>
          <w:numId w:val="3"/>
        </w:numPr>
        <w:spacing w:after="75" w:line="330" w:lineRule="atLeast"/>
        <w:ind w:left="456"/>
        <w:jc w:val="both"/>
        <w:rPr>
          <w:rFonts w:ascii="Times New Roman" w:eastAsia="Times New Roman" w:hAnsi="Times New Roman" w:cs="Times New Roman"/>
          <w:color w:val="555555"/>
          <w:sz w:val="28"/>
          <w:szCs w:val="28"/>
        </w:rPr>
      </w:pPr>
      <w:r w:rsidRPr="00555D21">
        <w:rPr>
          <w:rFonts w:ascii="Times New Roman" w:eastAsia="Times New Roman" w:hAnsi="Times New Roman" w:cs="Times New Roman"/>
          <w:color w:val="555555"/>
          <w:sz w:val="28"/>
          <w:szCs w:val="28"/>
        </w:rPr>
        <w:t>Giảm tiểu cầu do Heparin (Heparin-Induced thrombocytopenia – HIT): Nguyên nhân do một phản ứng đặc biệt giữa Heparin và tiểu cầu khi chúng tiếp xúc với nhau và thường đi kèm với nguy cơ huyết khối đe dọa tính mạng. Kháng thể HIT có thể thúc đẩy hình thành huyết khối bằng cách kích hoạt tiểu cầu. Bệnh nhân nghi ngờ có HIT phải được đổi ngay sang loại thuốc chống đông máu khác.</w:t>
      </w:r>
    </w:p>
    <w:p w:rsidR="00555D21" w:rsidRPr="00555D21" w:rsidRDefault="00555D21" w:rsidP="00555D21">
      <w:pPr>
        <w:spacing w:after="300" w:line="330" w:lineRule="atLeast"/>
        <w:jc w:val="both"/>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Bảng 2: Cơ chế gây giảm tiểu cầu của các nhóm kháng sinh (1)</w:t>
      </w:r>
    </w:p>
    <w:tbl>
      <w:tblPr>
        <w:tblW w:w="10020" w:type="dxa"/>
        <w:tblCellMar>
          <w:left w:w="0" w:type="dxa"/>
          <w:right w:w="0" w:type="dxa"/>
        </w:tblCellMar>
        <w:tblLook w:val="04A0" w:firstRow="1" w:lastRow="0" w:firstColumn="1" w:lastColumn="0" w:noHBand="0" w:noVBand="1"/>
      </w:tblPr>
      <w:tblGrid>
        <w:gridCol w:w="5010"/>
        <w:gridCol w:w="5010"/>
      </w:tblGrid>
      <w:tr w:rsidR="00555D21" w:rsidRPr="00555D21" w:rsidTr="00555D21">
        <w:tc>
          <w:tcPr>
            <w:tcW w:w="465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36641B">
              <w:rPr>
                <w:rFonts w:ascii="Times New Roman" w:eastAsia="Times New Roman" w:hAnsi="Times New Roman" w:cs="Times New Roman"/>
                <w:b/>
                <w:bCs/>
                <w:sz w:val="28"/>
                <w:szCs w:val="28"/>
              </w:rPr>
              <w:t>Nhóm</w:t>
            </w:r>
          </w:p>
        </w:tc>
        <w:tc>
          <w:tcPr>
            <w:tcW w:w="465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36641B">
              <w:rPr>
                <w:rFonts w:ascii="Times New Roman" w:eastAsia="Times New Roman" w:hAnsi="Times New Roman" w:cs="Times New Roman"/>
                <w:b/>
                <w:bCs/>
                <w:sz w:val="28"/>
                <w:szCs w:val="28"/>
              </w:rPr>
              <w:t>Cơ chế tác động</w:t>
            </w:r>
          </w:p>
        </w:tc>
      </w:tr>
      <w:tr w:rsidR="00555D21" w:rsidRPr="00555D21" w:rsidTr="00555D21">
        <w:tc>
          <w:tcPr>
            <w:tcW w:w="465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Beta-lactam</w:t>
            </w:r>
          </w:p>
        </w:tc>
        <w:tc>
          <w:tcPr>
            <w:tcW w:w="465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DITP</w:t>
            </w:r>
          </w:p>
        </w:tc>
      </w:tr>
      <w:tr w:rsidR="00555D21" w:rsidRPr="00555D21" w:rsidTr="00555D21">
        <w:tc>
          <w:tcPr>
            <w:tcW w:w="465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Glycopeptide</w:t>
            </w:r>
          </w:p>
        </w:tc>
        <w:tc>
          <w:tcPr>
            <w:tcW w:w="465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DITP</w:t>
            </w:r>
          </w:p>
        </w:tc>
      </w:tr>
      <w:tr w:rsidR="00555D21" w:rsidRPr="00555D21" w:rsidTr="00555D21">
        <w:tc>
          <w:tcPr>
            <w:tcW w:w="465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Aminoside</w:t>
            </w:r>
          </w:p>
        </w:tc>
        <w:tc>
          <w:tcPr>
            <w:tcW w:w="465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Chưa rõ</w:t>
            </w:r>
          </w:p>
        </w:tc>
      </w:tr>
      <w:tr w:rsidR="00555D21" w:rsidRPr="00555D21" w:rsidTr="00555D21">
        <w:tc>
          <w:tcPr>
            <w:tcW w:w="465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Phenicol</w:t>
            </w:r>
          </w:p>
        </w:tc>
        <w:tc>
          <w:tcPr>
            <w:tcW w:w="465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Chưa rõ</w:t>
            </w:r>
          </w:p>
        </w:tc>
      </w:tr>
      <w:tr w:rsidR="00555D21" w:rsidRPr="00555D21" w:rsidTr="00555D21">
        <w:tc>
          <w:tcPr>
            <w:tcW w:w="465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Tetracycline</w:t>
            </w:r>
          </w:p>
        </w:tc>
        <w:tc>
          <w:tcPr>
            <w:tcW w:w="465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Chưa rõ</w:t>
            </w:r>
          </w:p>
        </w:tc>
      </w:tr>
      <w:tr w:rsidR="00555D21" w:rsidRPr="00555D21" w:rsidTr="00555D21">
        <w:tc>
          <w:tcPr>
            <w:tcW w:w="465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Quinolone</w:t>
            </w:r>
          </w:p>
        </w:tc>
        <w:tc>
          <w:tcPr>
            <w:tcW w:w="465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DITP</w:t>
            </w:r>
          </w:p>
        </w:tc>
      </w:tr>
      <w:tr w:rsidR="00555D21" w:rsidRPr="00555D21" w:rsidTr="00555D21">
        <w:tc>
          <w:tcPr>
            <w:tcW w:w="465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Rifampicin</w:t>
            </w:r>
          </w:p>
        </w:tc>
        <w:tc>
          <w:tcPr>
            <w:tcW w:w="465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DITP</w:t>
            </w:r>
          </w:p>
        </w:tc>
      </w:tr>
      <w:tr w:rsidR="00555D21" w:rsidRPr="00555D21" w:rsidTr="00555D21">
        <w:tc>
          <w:tcPr>
            <w:tcW w:w="465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Cotrimoxazole</w:t>
            </w:r>
          </w:p>
        </w:tc>
        <w:tc>
          <w:tcPr>
            <w:tcW w:w="465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555D21" w:rsidRPr="00555D21" w:rsidRDefault="00555D21" w:rsidP="00555D21">
            <w:pPr>
              <w:spacing w:after="0" w:line="240" w:lineRule="auto"/>
              <w:rPr>
                <w:rFonts w:ascii="Times New Roman" w:eastAsia="Times New Roman" w:hAnsi="Times New Roman" w:cs="Times New Roman"/>
                <w:sz w:val="28"/>
                <w:szCs w:val="28"/>
              </w:rPr>
            </w:pPr>
            <w:r w:rsidRPr="00555D21">
              <w:rPr>
                <w:rFonts w:ascii="Times New Roman" w:eastAsia="Times New Roman" w:hAnsi="Times New Roman" w:cs="Times New Roman"/>
                <w:sz w:val="28"/>
                <w:szCs w:val="28"/>
              </w:rPr>
              <w:t>DITP</w:t>
            </w:r>
          </w:p>
        </w:tc>
      </w:tr>
    </w:tbl>
    <w:p w:rsidR="00555D21" w:rsidRPr="00555D21" w:rsidRDefault="00555D21" w:rsidP="00555D21">
      <w:pPr>
        <w:spacing w:after="300" w:line="330" w:lineRule="atLeast"/>
        <w:jc w:val="both"/>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xml:space="preserve">Giảm tiểu cầu </w:t>
      </w:r>
      <w:proofErr w:type="gramStart"/>
      <w:r w:rsidRPr="00555D21">
        <w:rPr>
          <w:rFonts w:ascii="Times New Roman" w:eastAsia="Times New Roman" w:hAnsi="Times New Roman" w:cs="Times New Roman"/>
          <w:color w:val="353535"/>
          <w:sz w:val="28"/>
          <w:szCs w:val="28"/>
        </w:rPr>
        <w:t>theo</w:t>
      </w:r>
      <w:proofErr w:type="gramEnd"/>
      <w:r w:rsidRPr="00555D21">
        <w:rPr>
          <w:rFonts w:ascii="Times New Roman" w:eastAsia="Times New Roman" w:hAnsi="Times New Roman" w:cs="Times New Roman"/>
          <w:color w:val="353535"/>
          <w:sz w:val="28"/>
          <w:szCs w:val="28"/>
        </w:rPr>
        <w:t xml:space="preserve"> cơ chế DITP là do việc gia tăng phá hủy tiểu cầu (hiếm hơn là các đại bào trong tủy xương) bởi thuốc và các kháng thể phản ứng tiểu cầu (1-3). </w:t>
      </w:r>
      <w:proofErr w:type="gramStart"/>
      <w:r w:rsidRPr="00555D21">
        <w:rPr>
          <w:rFonts w:ascii="Times New Roman" w:eastAsia="Times New Roman" w:hAnsi="Times New Roman" w:cs="Times New Roman"/>
          <w:color w:val="353535"/>
          <w:sz w:val="28"/>
          <w:szCs w:val="28"/>
        </w:rPr>
        <w:lastRenderedPageBreak/>
        <w:t>Trong hầu hết các ca, các kháng thể tiểu cầu phụ thuộc thuốc liên kết không cộng hóa trị với các kháng nguyên tiểu cầu (cụ thể thông qua các vùng Fab của chúng).</w:t>
      </w:r>
      <w:proofErr w:type="gramEnd"/>
    </w:p>
    <w:p w:rsidR="00555D21" w:rsidRPr="00555D21" w:rsidRDefault="00555D21" w:rsidP="00555D21">
      <w:pPr>
        <w:spacing w:after="0" w:line="330" w:lineRule="atLeast"/>
        <w:jc w:val="both"/>
        <w:rPr>
          <w:rFonts w:ascii="Times New Roman" w:eastAsia="Times New Roman" w:hAnsi="Times New Roman" w:cs="Times New Roman"/>
          <w:color w:val="353535"/>
          <w:sz w:val="28"/>
          <w:szCs w:val="28"/>
        </w:rPr>
      </w:pPr>
      <w:proofErr w:type="gramStart"/>
      <w:r w:rsidRPr="00555D21">
        <w:rPr>
          <w:rFonts w:ascii="Times New Roman" w:eastAsia="Times New Roman" w:hAnsi="Times New Roman" w:cs="Times New Roman"/>
          <w:color w:val="353535"/>
          <w:sz w:val="28"/>
          <w:szCs w:val="28"/>
        </w:rPr>
        <w:t>DITP gặp ở người lớn nhiều hơn là ở trẻ em (4).</w:t>
      </w:r>
      <w:proofErr w:type="gramEnd"/>
      <w:r w:rsidRPr="00555D21">
        <w:rPr>
          <w:rFonts w:ascii="Times New Roman" w:eastAsia="Times New Roman" w:hAnsi="Times New Roman" w:cs="Times New Roman"/>
          <w:color w:val="353535"/>
          <w:sz w:val="28"/>
          <w:szCs w:val="28"/>
        </w:rPr>
        <w:t> </w:t>
      </w:r>
      <w:proofErr w:type="gramStart"/>
      <w:r w:rsidRPr="0036641B">
        <w:rPr>
          <w:rFonts w:ascii="Times New Roman" w:eastAsia="Times New Roman" w:hAnsi="Times New Roman" w:cs="Times New Roman"/>
          <w:i/>
          <w:iCs/>
          <w:color w:val="353535"/>
          <w:sz w:val="28"/>
          <w:szCs w:val="28"/>
        </w:rPr>
        <w:t>Thời gian xuất hiện việc giảm tiểu cầu thường là trong vòng 2 tuần kể từ khi dùng thuốc</w:t>
      </w:r>
      <w:r w:rsidRPr="00555D21">
        <w:rPr>
          <w:rFonts w:ascii="Times New Roman" w:eastAsia="Times New Roman" w:hAnsi="Times New Roman" w:cs="Times New Roman"/>
          <w:color w:val="353535"/>
          <w:sz w:val="28"/>
          <w:szCs w:val="28"/>
        </w:rPr>
        <w:t> (5).</w:t>
      </w:r>
      <w:proofErr w:type="gramEnd"/>
      <w:r w:rsidRPr="00555D21">
        <w:rPr>
          <w:rFonts w:ascii="Times New Roman" w:eastAsia="Times New Roman" w:hAnsi="Times New Roman" w:cs="Times New Roman"/>
          <w:color w:val="353535"/>
          <w:sz w:val="28"/>
          <w:szCs w:val="28"/>
        </w:rPr>
        <w:t xml:space="preserve"> DITP thường gây ảnh hưởng nặng trên bệnh nhân với tiểu cầu giảm xuống dưới 20 000/mcroL (5</w:t>
      </w:r>
      <w:proofErr w:type="gramStart"/>
      <w:r w:rsidRPr="00555D21">
        <w:rPr>
          <w:rFonts w:ascii="Times New Roman" w:eastAsia="Times New Roman" w:hAnsi="Times New Roman" w:cs="Times New Roman"/>
          <w:color w:val="353535"/>
          <w:sz w:val="28"/>
          <w:szCs w:val="28"/>
        </w:rPr>
        <w:t>,6,7</w:t>
      </w:r>
      <w:proofErr w:type="gramEnd"/>
      <w:r w:rsidRPr="00555D21">
        <w:rPr>
          <w:rFonts w:ascii="Times New Roman" w:eastAsia="Times New Roman" w:hAnsi="Times New Roman" w:cs="Times New Roman"/>
          <w:color w:val="353535"/>
          <w:sz w:val="28"/>
          <w:szCs w:val="28"/>
        </w:rPr>
        <w:t>).</w:t>
      </w:r>
    </w:p>
    <w:p w:rsidR="00555D21" w:rsidRPr="00555D21" w:rsidRDefault="00555D21" w:rsidP="00555D21">
      <w:pPr>
        <w:spacing w:after="0" w:line="330" w:lineRule="atLeast"/>
        <w:jc w:val="both"/>
        <w:rPr>
          <w:rFonts w:ascii="Times New Roman" w:eastAsia="Times New Roman" w:hAnsi="Times New Roman" w:cs="Times New Roman"/>
          <w:color w:val="353535"/>
          <w:sz w:val="28"/>
          <w:szCs w:val="28"/>
        </w:rPr>
      </w:pPr>
      <w:r w:rsidRPr="0036641B">
        <w:rPr>
          <w:rFonts w:ascii="Times New Roman" w:eastAsia="Times New Roman" w:hAnsi="Times New Roman" w:cs="Times New Roman"/>
          <w:b/>
          <w:bCs/>
          <w:color w:val="353535"/>
          <w:sz w:val="28"/>
          <w:szCs w:val="28"/>
        </w:rPr>
        <w:t>Quản lý giảm tiểu cầu do kháng sinh</w:t>
      </w:r>
    </w:p>
    <w:p w:rsidR="00555D21" w:rsidRPr="00555D21" w:rsidRDefault="00555D21" w:rsidP="00555D21">
      <w:pPr>
        <w:spacing w:after="300" w:line="330" w:lineRule="atLeast"/>
        <w:jc w:val="both"/>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xml:space="preserve">Khi bệnh nhân giảm tiểu cầu và chưa loại trừ do thuốc, cần đánh giá sử dụng thuốc để xác định. Xác định khả năng giảm tiểu cầu với thuốc trước khi dùng thuốc là cần thiết, mặc dù việc này có nhiều thách thức trên lâm sàng. Các thuốc đã ghi nhận gây giảm tiểu cầu nên được thận trọng và </w:t>
      </w:r>
      <w:proofErr w:type="gramStart"/>
      <w:r w:rsidRPr="00555D21">
        <w:rPr>
          <w:rFonts w:ascii="Times New Roman" w:eastAsia="Times New Roman" w:hAnsi="Times New Roman" w:cs="Times New Roman"/>
          <w:color w:val="353535"/>
          <w:sz w:val="28"/>
          <w:szCs w:val="28"/>
        </w:rPr>
        <w:t>theo</w:t>
      </w:r>
      <w:proofErr w:type="gramEnd"/>
      <w:r w:rsidRPr="00555D21">
        <w:rPr>
          <w:rFonts w:ascii="Times New Roman" w:eastAsia="Times New Roman" w:hAnsi="Times New Roman" w:cs="Times New Roman"/>
          <w:color w:val="353535"/>
          <w:sz w:val="28"/>
          <w:szCs w:val="28"/>
        </w:rPr>
        <w:t xml:space="preserve"> dõi khi bắt đầu dùng thuốc.</w:t>
      </w:r>
    </w:p>
    <w:p w:rsidR="00555D21" w:rsidRPr="00555D21" w:rsidRDefault="00555D21" w:rsidP="00555D21">
      <w:pPr>
        <w:spacing w:after="0" w:line="330" w:lineRule="atLeast"/>
        <w:jc w:val="both"/>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xml:space="preserve">Xác định việc ngừng thuốc: Với bệnh nhân ngoại trú khỏe mạnh, quyết định ngừng thuốc có thể dễ dàng nếu bệnh nhân chỉ dùng 1 loại thuốc. </w:t>
      </w:r>
      <w:proofErr w:type="gramStart"/>
      <w:r w:rsidRPr="00555D21">
        <w:rPr>
          <w:rFonts w:ascii="Times New Roman" w:eastAsia="Times New Roman" w:hAnsi="Times New Roman" w:cs="Times New Roman"/>
          <w:color w:val="353535"/>
          <w:sz w:val="28"/>
          <w:szCs w:val="28"/>
        </w:rPr>
        <w:t>Tuy nhiên, nếu đang dùng nhiều loại thuốc, việc xác định ngưng loại thuốc nào là khó khăn, trong những trường hợp này thì những thuốc nào có khả năng gây giảm tiểu cầu nếu có thể nên ngưng toàn bộ và chỉ để lại những thuốc khác.</w:t>
      </w:r>
      <w:proofErr w:type="gramEnd"/>
      <w:r w:rsidRPr="00555D21">
        <w:rPr>
          <w:rFonts w:ascii="Times New Roman" w:eastAsia="Times New Roman" w:hAnsi="Times New Roman" w:cs="Times New Roman"/>
          <w:color w:val="353535"/>
          <w:sz w:val="28"/>
          <w:szCs w:val="28"/>
        </w:rPr>
        <w:t xml:space="preserve"> Các biện pháp có thể dùng bao gồm: đổi thuốc khác không ảnh hưởng trên tiểu cầu, giảm liều hay tần suất dùng hoặc ngưng hẳn thuốc. </w:t>
      </w:r>
      <w:proofErr w:type="gramStart"/>
      <w:r w:rsidRPr="0036641B">
        <w:rPr>
          <w:rFonts w:ascii="Times New Roman" w:eastAsia="Times New Roman" w:hAnsi="Times New Roman" w:cs="Times New Roman"/>
          <w:i/>
          <w:iCs/>
          <w:color w:val="353535"/>
          <w:sz w:val="28"/>
          <w:szCs w:val="28"/>
        </w:rPr>
        <w:t>Thời gian phục hồi thường là 1 tuần</w:t>
      </w:r>
      <w:r w:rsidRPr="00555D21">
        <w:rPr>
          <w:rFonts w:ascii="Times New Roman" w:eastAsia="Times New Roman" w:hAnsi="Times New Roman" w:cs="Times New Roman"/>
          <w:color w:val="353535"/>
          <w:sz w:val="28"/>
          <w:szCs w:val="28"/>
        </w:rPr>
        <w:t> (5).</w:t>
      </w:r>
      <w:proofErr w:type="gramEnd"/>
    </w:p>
    <w:p w:rsidR="00555D21" w:rsidRPr="00555D21" w:rsidRDefault="00555D21" w:rsidP="00555D21">
      <w:pPr>
        <w:spacing w:after="300" w:line="330" w:lineRule="atLeast"/>
        <w:jc w:val="both"/>
        <w:rPr>
          <w:rFonts w:ascii="Times New Roman" w:eastAsia="Times New Roman" w:hAnsi="Times New Roman" w:cs="Times New Roman"/>
          <w:color w:val="353535"/>
          <w:sz w:val="28"/>
          <w:szCs w:val="28"/>
        </w:rPr>
      </w:pPr>
      <w:proofErr w:type="gramStart"/>
      <w:r w:rsidRPr="00555D21">
        <w:rPr>
          <w:rFonts w:ascii="Times New Roman" w:eastAsia="Times New Roman" w:hAnsi="Times New Roman" w:cs="Times New Roman"/>
          <w:color w:val="353535"/>
          <w:sz w:val="28"/>
          <w:szCs w:val="28"/>
        </w:rPr>
        <w:t>Đối với DITP, số lượng tiểu cầu sẽ hồi phục dần sau khi ngưng các thuốc ảnh hưởng.</w:t>
      </w:r>
      <w:proofErr w:type="gramEnd"/>
      <w:r w:rsidRPr="00555D21">
        <w:rPr>
          <w:rFonts w:ascii="Times New Roman" w:eastAsia="Times New Roman" w:hAnsi="Times New Roman" w:cs="Times New Roman"/>
          <w:color w:val="353535"/>
          <w:sz w:val="28"/>
          <w:szCs w:val="28"/>
        </w:rPr>
        <w:t xml:space="preserve"> Nếu bệnh nhân có biểu hiện lâm sàng về bầm dập, tụ máu hay chảy máu cần phải nhập viện để tiến hành can thiệp nội khoa.</w:t>
      </w:r>
    </w:p>
    <w:p w:rsidR="00555D21" w:rsidRPr="00555D21" w:rsidRDefault="00555D21" w:rsidP="00555D21">
      <w:pPr>
        <w:spacing w:after="300" w:line="330" w:lineRule="atLeast"/>
        <w:jc w:val="both"/>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Điều trị DITP:</w:t>
      </w:r>
    </w:p>
    <w:p w:rsidR="00555D21" w:rsidRPr="00555D21" w:rsidRDefault="00555D21" w:rsidP="00555D21">
      <w:pPr>
        <w:numPr>
          <w:ilvl w:val="0"/>
          <w:numId w:val="4"/>
        </w:numPr>
        <w:spacing w:after="75" w:line="330" w:lineRule="atLeast"/>
        <w:ind w:left="456"/>
        <w:jc w:val="both"/>
        <w:rPr>
          <w:rFonts w:ascii="Times New Roman" w:eastAsia="Times New Roman" w:hAnsi="Times New Roman" w:cs="Times New Roman"/>
          <w:color w:val="555555"/>
          <w:sz w:val="28"/>
          <w:szCs w:val="28"/>
        </w:rPr>
      </w:pPr>
      <w:r w:rsidRPr="00555D21">
        <w:rPr>
          <w:rFonts w:ascii="Times New Roman" w:eastAsia="Times New Roman" w:hAnsi="Times New Roman" w:cs="Times New Roman"/>
          <w:color w:val="555555"/>
          <w:sz w:val="28"/>
          <w:szCs w:val="28"/>
        </w:rPr>
        <w:t>Lâm sàng có chảy máu hoặc tiểu cầu &lt; 10 000 /mcroL nên chỉ định truyền tiểu cầu (2). Nếu truyền tiểu cầu mà bệnh nhân vẫn không đáp ứng, chỉ định truyền tĩnh mạch Immunoglobulin (Intravenous Immunoglobulin – IVIG) là hiệu quả để ngưng việc chảy máu (9).</w:t>
      </w:r>
    </w:p>
    <w:p w:rsidR="00555D21" w:rsidRPr="00555D21" w:rsidRDefault="00555D21" w:rsidP="00555D21">
      <w:pPr>
        <w:numPr>
          <w:ilvl w:val="0"/>
          <w:numId w:val="4"/>
        </w:numPr>
        <w:spacing w:after="75" w:line="330" w:lineRule="atLeast"/>
        <w:ind w:left="456"/>
        <w:jc w:val="both"/>
        <w:rPr>
          <w:rFonts w:ascii="Times New Roman" w:eastAsia="Times New Roman" w:hAnsi="Times New Roman" w:cs="Times New Roman"/>
          <w:color w:val="555555"/>
          <w:sz w:val="28"/>
          <w:szCs w:val="28"/>
        </w:rPr>
      </w:pPr>
      <w:r w:rsidRPr="00555D21">
        <w:rPr>
          <w:rFonts w:ascii="Times New Roman" w:eastAsia="Times New Roman" w:hAnsi="Times New Roman" w:cs="Times New Roman"/>
          <w:color w:val="555555"/>
          <w:sz w:val="28"/>
          <w:szCs w:val="28"/>
        </w:rPr>
        <w:t xml:space="preserve">Đối với trường hợp lâm sàng không có chảy máu và không nặng, chỉ định các steroid là đầu </w:t>
      </w:r>
      <w:proofErr w:type="gramStart"/>
      <w:r w:rsidRPr="00555D21">
        <w:rPr>
          <w:rFonts w:ascii="Times New Roman" w:eastAsia="Times New Roman" w:hAnsi="Times New Roman" w:cs="Times New Roman"/>
          <w:color w:val="555555"/>
          <w:sz w:val="28"/>
          <w:szCs w:val="28"/>
        </w:rPr>
        <w:t>tay</w:t>
      </w:r>
      <w:proofErr w:type="gramEnd"/>
      <w:r w:rsidRPr="00555D21">
        <w:rPr>
          <w:rFonts w:ascii="Times New Roman" w:eastAsia="Times New Roman" w:hAnsi="Times New Roman" w:cs="Times New Roman"/>
          <w:color w:val="555555"/>
          <w:sz w:val="28"/>
          <w:szCs w:val="28"/>
        </w:rPr>
        <w:t xml:space="preserve"> vì DITP và ITP có thể không phân biệt được. Tuy nhiên, vai trò của truyền tiểu cầu trong trường hợp có chảy máu nhưng không đe dọa tính mạng, không nghiêm trọng cần cá thể hóa.</w:t>
      </w:r>
    </w:p>
    <w:p w:rsidR="00555D21" w:rsidRPr="00555D21" w:rsidRDefault="00555D21" w:rsidP="00555D21">
      <w:pPr>
        <w:numPr>
          <w:ilvl w:val="0"/>
          <w:numId w:val="5"/>
        </w:numPr>
        <w:spacing w:after="0" w:line="330" w:lineRule="atLeast"/>
        <w:ind w:left="456"/>
        <w:jc w:val="both"/>
        <w:rPr>
          <w:rFonts w:ascii="Times New Roman" w:eastAsia="Times New Roman" w:hAnsi="Times New Roman" w:cs="Times New Roman"/>
          <w:color w:val="555555"/>
          <w:sz w:val="28"/>
          <w:szCs w:val="28"/>
        </w:rPr>
      </w:pPr>
      <w:r w:rsidRPr="0036641B">
        <w:rPr>
          <w:rFonts w:ascii="Times New Roman" w:eastAsia="Times New Roman" w:hAnsi="Times New Roman" w:cs="Times New Roman"/>
          <w:b/>
          <w:bCs/>
          <w:color w:val="555555"/>
          <w:sz w:val="28"/>
          <w:szCs w:val="28"/>
        </w:rPr>
        <w:t>Tăng tiểu cầu do kháng sinh (ET-Essential Thrombocythemia)</w:t>
      </w:r>
    </w:p>
    <w:p w:rsidR="00555D21" w:rsidRPr="00555D21" w:rsidRDefault="00555D21" w:rsidP="00555D21">
      <w:pPr>
        <w:spacing w:after="300" w:line="330" w:lineRule="atLeast"/>
        <w:jc w:val="both"/>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Tăng tiểu cầu do kháng sinh rất hiếm gặp hơn so với giảm tiểu cầu. Tăng tiểu cầu lên trên 600 000 /mcroL (đặc biệt khi hơn 1 triệu/mcroL) là nghiêm trọng cần xác định nguyên nhân và can thiệp kịp thời. Tiểu cầu tăng do thuốc là một phản ứng tăng tiểu cầu thứ phát và ít gây khả năng huyết khối hơn so với nguyên phát. Tuy nhiên, cần thận trọng chú ý trong thực hành lâm sàng.</w:t>
      </w:r>
    </w:p>
    <w:p w:rsidR="00555D21" w:rsidRPr="00555D21" w:rsidRDefault="00555D21" w:rsidP="00555D21">
      <w:pPr>
        <w:spacing w:after="300" w:line="330" w:lineRule="atLeast"/>
        <w:jc w:val="both"/>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lastRenderedPageBreak/>
        <w:t>Việc quản lý tăng tiểu cầu do thuốc để phòng ngừa huyết khối được áp dụng khi tiểu cầu ≥ 600 000 /mcroL với liều thấp aspirin cho tới khi tiểu cầu ở ngưỡng 100 000 – 400 000 /mcroL (10, 11).</w:t>
      </w:r>
    </w:p>
    <w:p w:rsidR="00555D21" w:rsidRPr="00555D21" w:rsidRDefault="00555D21" w:rsidP="00555D21">
      <w:pPr>
        <w:spacing w:after="300" w:line="330" w:lineRule="atLeast"/>
        <w:jc w:val="both"/>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xml:space="preserve">Huyết khối ở những bệnh nhân tăng tiểu cầu là biến chứng cơ bản cần phải quản lý. </w:t>
      </w:r>
      <w:proofErr w:type="gramStart"/>
      <w:r w:rsidRPr="00555D21">
        <w:rPr>
          <w:rFonts w:ascii="Times New Roman" w:eastAsia="Times New Roman" w:hAnsi="Times New Roman" w:cs="Times New Roman"/>
          <w:color w:val="353535"/>
          <w:sz w:val="28"/>
          <w:szCs w:val="28"/>
        </w:rPr>
        <w:t>Huyết khối tại động mạch thường gặp hơn ở tĩnh mạch (1).</w:t>
      </w:r>
      <w:proofErr w:type="gramEnd"/>
      <w:r w:rsidRPr="00555D21">
        <w:rPr>
          <w:rFonts w:ascii="Times New Roman" w:eastAsia="Times New Roman" w:hAnsi="Times New Roman" w:cs="Times New Roman"/>
          <w:color w:val="353535"/>
          <w:sz w:val="28"/>
          <w:szCs w:val="28"/>
        </w:rPr>
        <w:t xml:space="preserve"> </w:t>
      </w:r>
      <w:proofErr w:type="gramStart"/>
      <w:r w:rsidRPr="00555D21">
        <w:rPr>
          <w:rFonts w:ascii="Times New Roman" w:eastAsia="Times New Roman" w:hAnsi="Times New Roman" w:cs="Times New Roman"/>
          <w:color w:val="353535"/>
          <w:sz w:val="28"/>
          <w:szCs w:val="28"/>
        </w:rPr>
        <w:t>Những nghiên cứu gần đây cho thấy nguy cơ huyết khối thấp hơn so với những nghiên cứu trước đây (1, 12).</w:t>
      </w:r>
      <w:proofErr w:type="gramEnd"/>
      <w:r w:rsidRPr="00555D21">
        <w:rPr>
          <w:rFonts w:ascii="Times New Roman" w:eastAsia="Times New Roman" w:hAnsi="Times New Roman" w:cs="Times New Roman"/>
          <w:color w:val="353535"/>
          <w:sz w:val="28"/>
          <w:szCs w:val="28"/>
        </w:rPr>
        <w:t xml:space="preserve"> </w:t>
      </w:r>
      <w:proofErr w:type="gramStart"/>
      <w:r w:rsidRPr="00555D21">
        <w:rPr>
          <w:rFonts w:ascii="Times New Roman" w:eastAsia="Times New Roman" w:hAnsi="Times New Roman" w:cs="Times New Roman"/>
          <w:color w:val="353535"/>
          <w:sz w:val="28"/>
          <w:szCs w:val="28"/>
        </w:rPr>
        <w:t>Rất nhiều nghiên cứu đã chứng minh rằng yếu tố quan trọng nhất trong nguy cơ huyết khối ở bệnh nhân có ET là có tiền sử huyết khối trước đây và trên 60 tuổi (13-16).</w:t>
      </w:r>
      <w:proofErr w:type="gramEnd"/>
      <w:r w:rsidRPr="00555D21">
        <w:rPr>
          <w:rFonts w:ascii="Times New Roman" w:eastAsia="Times New Roman" w:hAnsi="Times New Roman" w:cs="Times New Roman"/>
          <w:color w:val="353535"/>
          <w:sz w:val="28"/>
          <w:szCs w:val="28"/>
        </w:rPr>
        <w:t xml:space="preserve"> Sự hiện diện với đột biến JAK2 V617F và các yếu tố lâm sàng khác cũng gây ra nguy cơ huyết khối.</w:t>
      </w:r>
    </w:p>
    <w:p w:rsidR="00555D21" w:rsidRPr="00555D21" w:rsidRDefault="00555D21" w:rsidP="00555D21">
      <w:pPr>
        <w:spacing w:after="300" w:line="330" w:lineRule="atLeast"/>
        <w:jc w:val="both"/>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Mô hình huyết khối IPSET được lấy từ một nhóm 891 đối tượng ET do WHO xác định như sau (1):</w:t>
      </w:r>
    </w:p>
    <w:p w:rsidR="00555D21" w:rsidRPr="00555D21" w:rsidRDefault="00555D21" w:rsidP="00555D21">
      <w:pPr>
        <w:numPr>
          <w:ilvl w:val="0"/>
          <w:numId w:val="6"/>
        </w:numPr>
        <w:spacing w:after="75" w:line="330" w:lineRule="atLeast"/>
        <w:ind w:left="456"/>
        <w:jc w:val="both"/>
        <w:rPr>
          <w:rFonts w:ascii="Times New Roman" w:eastAsia="Times New Roman" w:hAnsi="Times New Roman" w:cs="Times New Roman"/>
          <w:color w:val="555555"/>
          <w:sz w:val="28"/>
          <w:szCs w:val="28"/>
        </w:rPr>
      </w:pPr>
      <w:r w:rsidRPr="00555D21">
        <w:rPr>
          <w:rFonts w:ascii="Times New Roman" w:eastAsia="Times New Roman" w:hAnsi="Times New Roman" w:cs="Times New Roman"/>
          <w:color w:val="555555"/>
          <w:sz w:val="28"/>
          <w:szCs w:val="28"/>
        </w:rPr>
        <w:t>Tuổi &gt; 60 (Tỉ lệ nguy hiểm [HR] 1,5): 1 điểm</w:t>
      </w:r>
    </w:p>
    <w:p w:rsidR="00555D21" w:rsidRPr="00555D21" w:rsidRDefault="00555D21" w:rsidP="00555D21">
      <w:pPr>
        <w:numPr>
          <w:ilvl w:val="0"/>
          <w:numId w:val="6"/>
        </w:numPr>
        <w:spacing w:after="75" w:line="330" w:lineRule="atLeast"/>
        <w:ind w:left="456"/>
        <w:jc w:val="both"/>
        <w:rPr>
          <w:rFonts w:ascii="Times New Roman" w:eastAsia="Times New Roman" w:hAnsi="Times New Roman" w:cs="Times New Roman"/>
          <w:color w:val="555555"/>
          <w:sz w:val="28"/>
          <w:szCs w:val="28"/>
        </w:rPr>
      </w:pPr>
      <w:r w:rsidRPr="00555D21">
        <w:rPr>
          <w:rFonts w:ascii="Times New Roman" w:eastAsia="Times New Roman" w:hAnsi="Times New Roman" w:cs="Times New Roman"/>
          <w:color w:val="555555"/>
          <w:sz w:val="28"/>
          <w:szCs w:val="28"/>
        </w:rPr>
        <w:t>Có các yếu tố nguy cơ tim mạch (tăng huyết áp, tiểu đường, sử dụng thuốc lá, HR 1.6): 1 điểm</w:t>
      </w:r>
    </w:p>
    <w:p w:rsidR="00555D21" w:rsidRPr="00555D21" w:rsidRDefault="00555D21" w:rsidP="00555D21">
      <w:pPr>
        <w:numPr>
          <w:ilvl w:val="0"/>
          <w:numId w:val="6"/>
        </w:numPr>
        <w:spacing w:after="75" w:line="330" w:lineRule="atLeast"/>
        <w:ind w:left="456"/>
        <w:jc w:val="both"/>
        <w:rPr>
          <w:rFonts w:ascii="Times New Roman" w:eastAsia="Times New Roman" w:hAnsi="Times New Roman" w:cs="Times New Roman"/>
          <w:color w:val="555555"/>
          <w:sz w:val="28"/>
          <w:szCs w:val="28"/>
        </w:rPr>
      </w:pPr>
      <w:r w:rsidRPr="00555D21">
        <w:rPr>
          <w:rFonts w:ascii="Times New Roman" w:eastAsia="Times New Roman" w:hAnsi="Times New Roman" w:cs="Times New Roman"/>
          <w:color w:val="555555"/>
          <w:sz w:val="28"/>
          <w:szCs w:val="28"/>
        </w:rPr>
        <w:t>Tiền sử huyết khối (HR 1.9): 2 điểm</w:t>
      </w:r>
    </w:p>
    <w:p w:rsidR="00555D21" w:rsidRPr="00555D21" w:rsidRDefault="00555D21" w:rsidP="00555D21">
      <w:pPr>
        <w:numPr>
          <w:ilvl w:val="0"/>
          <w:numId w:val="6"/>
        </w:numPr>
        <w:spacing w:after="75" w:line="330" w:lineRule="atLeast"/>
        <w:ind w:left="456"/>
        <w:jc w:val="both"/>
        <w:rPr>
          <w:rFonts w:ascii="Times New Roman" w:eastAsia="Times New Roman" w:hAnsi="Times New Roman" w:cs="Times New Roman"/>
          <w:color w:val="555555"/>
          <w:sz w:val="28"/>
          <w:szCs w:val="28"/>
        </w:rPr>
      </w:pPr>
      <w:r w:rsidRPr="00555D21">
        <w:rPr>
          <w:rFonts w:ascii="Times New Roman" w:eastAsia="Times New Roman" w:hAnsi="Times New Roman" w:cs="Times New Roman"/>
          <w:color w:val="555555"/>
          <w:sz w:val="28"/>
          <w:szCs w:val="28"/>
        </w:rPr>
        <w:t>Sự hiện diện của đột biến JAK2 V617F (HR 2.0): 2 điểm</w:t>
      </w:r>
    </w:p>
    <w:p w:rsidR="00555D21" w:rsidRPr="00555D21" w:rsidRDefault="00555D21" w:rsidP="00555D21">
      <w:pPr>
        <w:spacing w:after="300" w:line="330" w:lineRule="atLeast"/>
        <w:jc w:val="both"/>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Các nhóm bệnh nhân nguy cơ gặp huyết khối được chia thành 3 nhóm sau khi sử dụng mô hình trên:</w:t>
      </w:r>
    </w:p>
    <w:p w:rsidR="00555D21" w:rsidRPr="00555D21" w:rsidRDefault="00555D21" w:rsidP="00555D21">
      <w:pPr>
        <w:numPr>
          <w:ilvl w:val="0"/>
          <w:numId w:val="7"/>
        </w:numPr>
        <w:spacing w:after="75" w:line="330" w:lineRule="atLeast"/>
        <w:ind w:left="456"/>
        <w:jc w:val="both"/>
        <w:rPr>
          <w:rFonts w:ascii="Times New Roman" w:eastAsia="Times New Roman" w:hAnsi="Times New Roman" w:cs="Times New Roman"/>
          <w:color w:val="555555"/>
          <w:sz w:val="28"/>
          <w:szCs w:val="28"/>
        </w:rPr>
      </w:pPr>
      <w:r w:rsidRPr="00555D21">
        <w:rPr>
          <w:rFonts w:ascii="Times New Roman" w:eastAsia="Times New Roman" w:hAnsi="Times New Roman" w:cs="Times New Roman"/>
          <w:color w:val="555555"/>
          <w:sz w:val="28"/>
          <w:szCs w:val="28"/>
        </w:rPr>
        <w:t>Nguy cơ huyết khối thấp (0-1 điểm): 1%/năm</w:t>
      </w:r>
    </w:p>
    <w:p w:rsidR="00555D21" w:rsidRPr="00555D21" w:rsidRDefault="00555D21" w:rsidP="00555D21">
      <w:pPr>
        <w:numPr>
          <w:ilvl w:val="0"/>
          <w:numId w:val="7"/>
        </w:numPr>
        <w:spacing w:after="75" w:line="330" w:lineRule="atLeast"/>
        <w:ind w:left="456"/>
        <w:jc w:val="both"/>
        <w:rPr>
          <w:rFonts w:ascii="Times New Roman" w:eastAsia="Times New Roman" w:hAnsi="Times New Roman" w:cs="Times New Roman"/>
          <w:color w:val="555555"/>
          <w:sz w:val="28"/>
          <w:szCs w:val="28"/>
        </w:rPr>
      </w:pPr>
      <w:r w:rsidRPr="00555D21">
        <w:rPr>
          <w:rFonts w:ascii="Times New Roman" w:eastAsia="Times New Roman" w:hAnsi="Times New Roman" w:cs="Times New Roman"/>
          <w:color w:val="555555"/>
          <w:sz w:val="28"/>
          <w:szCs w:val="28"/>
        </w:rPr>
        <w:t>Nguy cơ huyết khối trung bình (2 điểm): 2.4%/năm</w:t>
      </w:r>
    </w:p>
    <w:p w:rsidR="00555D21" w:rsidRPr="00555D21" w:rsidRDefault="00555D21" w:rsidP="00555D21">
      <w:pPr>
        <w:numPr>
          <w:ilvl w:val="0"/>
          <w:numId w:val="7"/>
        </w:numPr>
        <w:spacing w:after="75" w:line="330" w:lineRule="atLeast"/>
        <w:ind w:left="456"/>
        <w:jc w:val="both"/>
        <w:rPr>
          <w:rFonts w:ascii="Times New Roman" w:eastAsia="Times New Roman" w:hAnsi="Times New Roman" w:cs="Times New Roman"/>
          <w:color w:val="555555"/>
          <w:sz w:val="28"/>
          <w:szCs w:val="28"/>
        </w:rPr>
      </w:pPr>
      <w:r w:rsidRPr="00555D21">
        <w:rPr>
          <w:rFonts w:ascii="Times New Roman" w:eastAsia="Times New Roman" w:hAnsi="Times New Roman" w:cs="Times New Roman"/>
          <w:color w:val="555555"/>
          <w:sz w:val="28"/>
          <w:szCs w:val="28"/>
        </w:rPr>
        <w:t>Nguy cơ huyết khối cao (&gt; 2 điểm): 3,6%/năm</w:t>
      </w:r>
    </w:p>
    <w:p w:rsidR="00555D21" w:rsidRPr="00555D21" w:rsidRDefault="00555D21" w:rsidP="00555D21">
      <w:pPr>
        <w:spacing w:after="300" w:line="330" w:lineRule="atLeast"/>
        <w:jc w:val="both"/>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Khuyến cáo (17):</w:t>
      </w:r>
    </w:p>
    <w:p w:rsidR="00555D21" w:rsidRPr="00555D21" w:rsidRDefault="00555D21" w:rsidP="00555D21">
      <w:pPr>
        <w:numPr>
          <w:ilvl w:val="0"/>
          <w:numId w:val="8"/>
        </w:numPr>
        <w:spacing w:after="75" w:line="330" w:lineRule="atLeast"/>
        <w:ind w:left="456"/>
        <w:jc w:val="both"/>
        <w:rPr>
          <w:rFonts w:ascii="Times New Roman" w:eastAsia="Times New Roman" w:hAnsi="Times New Roman" w:cs="Times New Roman"/>
          <w:color w:val="555555"/>
          <w:sz w:val="28"/>
          <w:szCs w:val="28"/>
        </w:rPr>
      </w:pPr>
      <w:r w:rsidRPr="00555D21">
        <w:rPr>
          <w:rFonts w:ascii="Times New Roman" w:eastAsia="Times New Roman" w:hAnsi="Times New Roman" w:cs="Times New Roman"/>
          <w:color w:val="555555"/>
          <w:sz w:val="28"/>
          <w:szCs w:val="28"/>
        </w:rPr>
        <w:t>Những bệnh nhân mắc ET có nguy cơ thấp: nên được điều trị bằng liều thấp Aspirin hoặc chỉ theo dõi, không cần dùng phương pháp tế bào học</w:t>
      </w:r>
    </w:p>
    <w:p w:rsidR="00555D21" w:rsidRPr="00555D21" w:rsidRDefault="00555D21" w:rsidP="00555D21">
      <w:pPr>
        <w:numPr>
          <w:ilvl w:val="0"/>
          <w:numId w:val="8"/>
        </w:numPr>
        <w:spacing w:after="75" w:line="330" w:lineRule="atLeast"/>
        <w:ind w:left="456"/>
        <w:jc w:val="both"/>
        <w:rPr>
          <w:rFonts w:ascii="Times New Roman" w:eastAsia="Times New Roman" w:hAnsi="Times New Roman" w:cs="Times New Roman"/>
          <w:color w:val="555555"/>
          <w:sz w:val="28"/>
          <w:szCs w:val="28"/>
        </w:rPr>
      </w:pPr>
      <w:r w:rsidRPr="00555D21">
        <w:rPr>
          <w:rFonts w:ascii="Times New Roman" w:eastAsia="Times New Roman" w:hAnsi="Times New Roman" w:cs="Times New Roman"/>
          <w:color w:val="555555"/>
          <w:sz w:val="28"/>
          <w:szCs w:val="28"/>
        </w:rPr>
        <w:t>Những bệnh nhân nguy cơ trung bình và cao và không có tiền sử huyết khối: khuyến cáo điều trị bằng thuốc chống đông kết hợp Aspirin liều thấp</w:t>
      </w:r>
    </w:p>
    <w:p w:rsidR="00555D21" w:rsidRPr="00555D21" w:rsidRDefault="00555D21" w:rsidP="00555D21">
      <w:pPr>
        <w:numPr>
          <w:ilvl w:val="0"/>
          <w:numId w:val="8"/>
        </w:numPr>
        <w:spacing w:after="75" w:line="330" w:lineRule="atLeast"/>
        <w:ind w:left="456"/>
        <w:jc w:val="both"/>
        <w:rPr>
          <w:rFonts w:ascii="Times New Roman" w:eastAsia="Times New Roman" w:hAnsi="Times New Roman" w:cs="Times New Roman"/>
          <w:color w:val="555555"/>
          <w:sz w:val="28"/>
          <w:szCs w:val="28"/>
        </w:rPr>
      </w:pPr>
      <w:r w:rsidRPr="00555D21">
        <w:rPr>
          <w:rFonts w:ascii="Times New Roman" w:eastAsia="Times New Roman" w:hAnsi="Times New Roman" w:cs="Times New Roman"/>
          <w:color w:val="555555"/>
          <w:sz w:val="28"/>
          <w:szCs w:val="28"/>
        </w:rPr>
        <w:t>Đối với bệnh nhân có nguy cơ cao và có tiền sử huyết khối động mạch: khuyến cáo sử dụng thuốc chống đông máu kết hợp Aspirin liều thấp</w:t>
      </w:r>
    </w:p>
    <w:p w:rsidR="00555D21" w:rsidRPr="00555D21" w:rsidRDefault="00555D21" w:rsidP="00555D21">
      <w:pPr>
        <w:numPr>
          <w:ilvl w:val="0"/>
          <w:numId w:val="8"/>
        </w:numPr>
        <w:spacing w:after="75" w:line="330" w:lineRule="atLeast"/>
        <w:ind w:left="456"/>
        <w:jc w:val="both"/>
        <w:rPr>
          <w:rFonts w:ascii="Times New Roman" w:eastAsia="Times New Roman" w:hAnsi="Times New Roman" w:cs="Times New Roman"/>
          <w:color w:val="555555"/>
          <w:sz w:val="28"/>
          <w:szCs w:val="28"/>
        </w:rPr>
      </w:pPr>
      <w:r w:rsidRPr="00555D21">
        <w:rPr>
          <w:rFonts w:ascii="Times New Roman" w:eastAsia="Times New Roman" w:hAnsi="Times New Roman" w:cs="Times New Roman"/>
          <w:color w:val="555555"/>
          <w:sz w:val="28"/>
          <w:szCs w:val="28"/>
        </w:rPr>
        <w:t xml:space="preserve">Đối với bệnh nhân có nguy cơ cao và có tiền sử huyết khối tĩnh mạch: khuyến cáo sử dụng thuốc làm giảm tế bào (thuộc nhóm thuốc chống ung </w:t>
      </w:r>
      <w:proofErr w:type="gramStart"/>
      <w:r w:rsidRPr="00555D21">
        <w:rPr>
          <w:rFonts w:ascii="Times New Roman" w:eastAsia="Times New Roman" w:hAnsi="Times New Roman" w:cs="Times New Roman"/>
          <w:color w:val="555555"/>
          <w:sz w:val="28"/>
          <w:szCs w:val="28"/>
        </w:rPr>
        <w:t>thư</w:t>
      </w:r>
      <w:proofErr w:type="gramEnd"/>
      <w:r w:rsidRPr="00555D21">
        <w:rPr>
          <w:rFonts w:ascii="Times New Roman" w:eastAsia="Times New Roman" w:hAnsi="Times New Roman" w:cs="Times New Roman"/>
          <w:color w:val="555555"/>
          <w:sz w:val="28"/>
          <w:szCs w:val="28"/>
        </w:rPr>
        <w:t xml:space="preserve"> và tác động vào hệ thống miễn dịch) kết hợp với thuốc chống đông toàn thân.</w:t>
      </w:r>
    </w:p>
    <w:p w:rsidR="00555D21" w:rsidRPr="00555D21" w:rsidRDefault="00555D21" w:rsidP="00555D21">
      <w:pPr>
        <w:spacing w:after="0" w:line="330" w:lineRule="atLeast"/>
        <w:jc w:val="both"/>
        <w:rPr>
          <w:rFonts w:ascii="Times New Roman" w:eastAsia="Times New Roman" w:hAnsi="Times New Roman" w:cs="Times New Roman"/>
          <w:color w:val="353535"/>
          <w:sz w:val="28"/>
          <w:szCs w:val="28"/>
        </w:rPr>
      </w:pPr>
      <w:r w:rsidRPr="0036641B">
        <w:rPr>
          <w:rFonts w:ascii="Times New Roman" w:eastAsia="Times New Roman" w:hAnsi="Times New Roman" w:cs="Times New Roman"/>
          <w:b/>
          <w:bCs/>
          <w:color w:val="353535"/>
          <w:sz w:val="28"/>
          <w:szCs w:val="28"/>
        </w:rPr>
        <w:lastRenderedPageBreak/>
        <w:t>Kết luận</w:t>
      </w:r>
    </w:p>
    <w:p w:rsidR="00555D21" w:rsidRPr="00555D21" w:rsidRDefault="00555D21" w:rsidP="00555D21">
      <w:pPr>
        <w:spacing w:after="300" w:line="330" w:lineRule="atLeast"/>
        <w:jc w:val="both"/>
        <w:rPr>
          <w:rFonts w:ascii="Times New Roman" w:eastAsia="Times New Roman" w:hAnsi="Times New Roman" w:cs="Times New Roman"/>
          <w:color w:val="353535"/>
          <w:sz w:val="28"/>
          <w:szCs w:val="28"/>
        </w:rPr>
      </w:pPr>
      <w:r w:rsidRPr="00555D21">
        <w:rPr>
          <w:rFonts w:ascii="Times New Roman" w:eastAsia="Times New Roman" w:hAnsi="Times New Roman" w:cs="Times New Roman"/>
          <w:color w:val="353535"/>
          <w:sz w:val="28"/>
          <w:szCs w:val="28"/>
        </w:rPr>
        <w:t xml:space="preserve">Nói </w:t>
      </w:r>
      <w:proofErr w:type="gramStart"/>
      <w:r w:rsidRPr="00555D21">
        <w:rPr>
          <w:rFonts w:ascii="Times New Roman" w:eastAsia="Times New Roman" w:hAnsi="Times New Roman" w:cs="Times New Roman"/>
          <w:color w:val="353535"/>
          <w:sz w:val="28"/>
          <w:szCs w:val="28"/>
        </w:rPr>
        <w:t>chung</w:t>
      </w:r>
      <w:proofErr w:type="gramEnd"/>
      <w:r w:rsidRPr="00555D21">
        <w:rPr>
          <w:rFonts w:ascii="Times New Roman" w:eastAsia="Times New Roman" w:hAnsi="Times New Roman" w:cs="Times New Roman"/>
          <w:color w:val="353535"/>
          <w:sz w:val="28"/>
          <w:szCs w:val="28"/>
        </w:rPr>
        <w:t xml:space="preserve">, việc xác định chính xác nguyên nhân gây giảm tiểu cầu là không dễ dàng, cần phải được xem xét bởi các thầy thuốc có kinh nghiệm. Thông thường trên lâm sàng khi phát hiện bệnh nhân có giảm hoặc tăng tiểu cầu, việc </w:t>
      </w:r>
      <w:proofErr w:type="gramStart"/>
      <w:r w:rsidRPr="00555D21">
        <w:rPr>
          <w:rFonts w:ascii="Times New Roman" w:eastAsia="Times New Roman" w:hAnsi="Times New Roman" w:cs="Times New Roman"/>
          <w:color w:val="353535"/>
          <w:sz w:val="28"/>
          <w:szCs w:val="28"/>
        </w:rPr>
        <w:t>theo</w:t>
      </w:r>
      <w:proofErr w:type="gramEnd"/>
      <w:r w:rsidRPr="00555D21">
        <w:rPr>
          <w:rFonts w:ascii="Times New Roman" w:eastAsia="Times New Roman" w:hAnsi="Times New Roman" w:cs="Times New Roman"/>
          <w:color w:val="353535"/>
          <w:sz w:val="28"/>
          <w:szCs w:val="28"/>
        </w:rPr>
        <w:t xml:space="preserve"> dõi bệnh nhân là quan trọng nhất. Nếu có thể, tập hợp các chuyên gia như chuyên gia về huyết học, dược lâm sàng để tối ưu việc xác định nguyên nhân và điều trị cho người bệnh.</w:t>
      </w:r>
    </w:p>
    <w:p w:rsidR="00555D21" w:rsidRPr="00555D21" w:rsidRDefault="00555D21" w:rsidP="00555D21">
      <w:pPr>
        <w:spacing w:after="0" w:line="330" w:lineRule="atLeast"/>
        <w:jc w:val="both"/>
        <w:rPr>
          <w:rFonts w:ascii="Times New Roman" w:eastAsia="Times New Roman" w:hAnsi="Times New Roman" w:cs="Times New Roman"/>
          <w:color w:val="353535"/>
          <w:sz w:val="28"/>
          <w:szCs w:val="28"/>
        </w:rPr>
      </w:pPr>
      <w:r w:rsidRPr="0036641B">
        <w:rPr>
          <w:rFonts w:ascii="Times New Roman" w:eastAsia="Times New Roman" w:hAnsi="Times New Roman" w:cs="Times New Roman"/>
          <w:b/>
          <w:bCs/>
          <w:color w:val="353535"/>
          <w:sz w:val="28"/>
          <w:szCs w:val="28"/>
        </w:rPr>
        <w:t>Tài liệu tham khảo:</w:t>
      </w:r>
    </w:p>
    <w:p w:rsidR="00555D21" w:rsidRPr="00555D21" w:rsidRDefault="00555D21" w:rsidP="00555D21">
      <w:pPr>
        <w:numPr>
          <w:ilvl w:val="0"/>
          <w:numId w:val="9"/>
        </w:numPr>
        <w:spacing w:after="0" w:line="330" w:lineRule="atLeast"/>
        <w:ind w:left="456"/>
        <w:jc w:val="both"/>
        <w:rPr>
          <w:rFonts w:ascii="Times New Roman" w:eastAsia="Times New Roman" w:hAnsi="Times New Roman" w:cs="Times New Roman"/>
          <w:color w:val="555555"/>
          <w:sz w:val="28"/>
          <w:szCs w:val="28"/>
        </w:rPr>
      </w:pPr>
      <w:r w:rsidRPr="0036641B">
        <w:rPr>
          <w:rFonts w:ascii="Times New Roman" w:eastAsia="Times New Roman" w:hAnsi="Times New Roman" w:cs="Times New Roman"/>
          <w:i/>
          <w:iCs/>
          <w:color w:val="555555"/>
          <w:sz w:val="28"/>
          <w:szCs w:val="28"/>
        </w:rPr>
        <w:t>Aster RH, Curtis BR, McFarland JG, Bougie DW. Drug-induced immune thrombocytopenia: pathogenesis, dianogsis, and management. J Thromb Haemost 2009; 7:911.</w:t>
      </w:r>
    </w:p>
    <w:p w:rsidR="00555D21" w:rsidRPr="00555D21" w:rsidRDefault="00555D21" w:rsidP="00555D21">
      <w:pPr>
        <w:numPr>
          <w:ilvl w:val="0"/>
          <w:numId w:val="9"/>
        </w:numPr>
        <w:spacing w:after="0" w:line="330" w:lineRule="atLeast"/>
        <w:ind w:left="456"/>
        <w:jc w:val="both"/>
        <w:rPr>
          <w:rFonts w:ascii="Times New Roman" w:eastAsia="Times New Roman" w:hAnsi="Times New Roman" w:cs="Times New Roman"/>
          <w:color w:val="555555"/>
          <w:sz w:val="28"/>
          <w:szCs w:val="28"/>
        </w:rPr>
      </w:pPr>
      <w:r w:rsidRPr="0036641B">
        <w:rPr>
          <w:rFonts w:ascii="Times New Roman" w:eastAsia="Times New Roman" w:hAnsi="Times New Roman" w:cs="Times New Roman"/>
          <w:i/>
          <w:iCs/>
          <w:color w:val="555555"/>
          <w:sz w:val="28"/>
          <w:szCs w:val="28"/>
        </w:rPr>
        <w:t>Aster RH, Bougie DW. Drug-induced immune thrombocytopenia. N Engl J Med 2007; 357:580.</w:t>
      </w:r>
    </w:p>
    <w:p w:rsidR="00555D21" w:rsidRPr="00555D21" w:rsidRDefault="00555D21" w:rsidP="00555D21">
      <w:pPr>
        <w:numPr>
          <w:ilvl w:val="0"/>
          <w:numId w:val="9"/>
        </w:numPr>
        <w:spacing w:after="0" w:line="330" w:lineRule="atLeast"/>
        <w:ind w:left="456"/>
        <w:jc w:val="both"/>
        <w:rPr>
          <w:rFonts w:ascii="Times New Roman" w:eastAsia="Times New Roman" w:hAnsi="Times New Roman" w:cs="Times New Roman"/>
          <w:color w:val="555555"/>
          <w:sz w:val="28"/>
          <w:szCs w:val="28"/>
        </w:rPr>
      </w:pPr>
      <w:r w:rsidRPr="0036641B">
        <w:rPr>
          <w:rFonts w:ascii="Times New Roman" w:eastAsia="Times New Roman" w:hAnsi="Times New Roman" w:cs="Times New Roman"/>
          <w:i/>
          <w:iCs/>
          <w:color w:val="555555"/>
          <w:sz w:val="28"/>
          <w:szCs w:val="28"/>
        </w:rPr>
        <w:t>Arnold DM, Nazi I, Warkentin TE, et al. Approach to the diagnosis and management of drug-induced immune thrombocytopenia. Transfus Med Rev 2013; 27:137.</w:t>
      </w:r>
    </w:p>
    <w:p w:rsidR="00555D21" w:rsidRPr="00555D21" w:rsidRDefault="00555D21" w:rsidP="00555D21">
      <w:pPr>
        <w:numPr>
          <w:ilvl w:val="0"/>
          <w:numId w:val="9"/>
        </w:numPr>
        <w:spacing w:after="0" w:line="330" w:lineRule="atLeast"/>
        <w:ind w:left="456"/>
        <w:jc w:val="both"/>
        <w:rPr>
          <w:rFonts w:ascii="Times New Roman" w:eastAsia="Times New Roman" w:hAnsi="Times New Roman" w:cs="Times New Roman"/>
          <w:color w:val="555555"/>
          <w:sz w:val="28"/>
          <w:szCs w:val="28"/>
        </w:rPr>
      </w:pPr>
      <w:r w:rsidRPr="0036641B">
        <w:rPr>
          <w:rFonts w:ascii="Times New Roman" w:eastAsia="Times New Roman" w:hAnsi="Times New Roman" w:cs="Times New Roman"/>
          <w:i/>
          <w:iCs/>
          <w:color w:val="555555"/>
          <w:sz w:val="28"/>
          <w:szCs w:val="28"/>
        </w:rPr>
        <w:t>Reese JA, Nguyen LP, Buchanan GR, et al. Drug-induced thrombocytopenia in children. Pediatr Blood Cancer 2013; 60:1975.</w:t>
      </w:r>
    </w:p>
    <w:p w:rsidR="00555D21" w:rsidRPr="00555D21" w:rsidRDefault="00555D21" w:rsidP="00555D21">
      <w:pPr>
        <w:numPr>
          <w:ilvl w:val="0"/>
          <w:numId w:val="9"/>
        </w:numPr>
        <w:spacing w:after="0" w:line="330" w:lineRule="atLeast"/>
        <w:ind w:left="456"/>
        <w:jc w:val="both"/>
        <w:rPr>
          <w:rFonts w:ascii="Times New Roman" w:eastAsia="Times New Roman" w:hAnsi="Times New Roman" w:cs="Times New Roman"/>
          <w:color w:val="555555"/>
          <w:sz w:val="28"/>
          <w:szCs w:val="28"/>
        </w:rPr>
      </w:pPr>
      <w:r w:rsidRPr="0036641B">
        <w:rPr>
          <w:rFonts w:ascii="Times New Roman" w:eastAsia="Times New Roman" w:hAnsi="Times New Roman" w:cs="Times New Roman"/>
          <w:i/>
          <w:iCs/>
          <w:color w:val="555555"/>
          <w:sz w:val="28"/>
          <w:szCs w:val="28"/>
        </w:rPr>
        <w:t xml:space="preserve">Rousan TA, Aldoss IT, Cowley BD Jr, et al. Recurrent acute thrombocytopenia in the hospitalized patient: sepsis, DIC, HIT, or antibiotic-induced thrombocytopenia. Am J Hematol 2010; </w:t>
      </w:r>
      <w:proofErr w:type="gramStart"/>
      <w:r w:rsidRPr="0036641B">
        <w:rPr>
          <w:rFonts w:ascii="Times New Roman" w:eastAsia="Times New Roman" w:hAnsi="Times New Roman" w:cs="Times New Roman"/>
          <w:i/>
          <w:iCs/>
          <w:color w:val="555555"/>
          <w:sz w:val="28"/>
          <w:szCs w:val="28"/>
        </w:rPr>
        <w:t>85:71.</w:t>
      </w:r>
      <w:proofErr w:type="gramEnd"/>
    </w:p>
    <w:p w:rsidR="00555D21" w:rsidRPr="00555D21" w:rsidRDefault="00555D21" w:rsidP="00555D21">
      <w:pPr>
        <w:numPr>
          <w:ilvl w:val="0"/>
          <w:numId w:val="9"/>
        </w:numPr>
        <w:spacing w:after="0" w:line="330" w:lineRule="atLeast"/>
        <w:ind w:left="456"/>
        <w:jc w:val="both"/>
        <w:rPr>
          <w:rFonts w:ascii="Times New Roman" w:eastAsia="Times New Roman" w:hAnsi="Times New Roman" w:cs="Times New Roman"/>
          <w:color w:val="555555"/>
          <w:sz w:val="28"/>
          <w:szCs w:val="28"/>
        </w:rPr>
      </w:pPr>
      <w:r w:rsidRPr="0036641B">
        <w:rPr>
          <w:rFonts w:ascii="Times New Roman" w:eastAsia="Times New Roman" w:hAnsi="Times New Roman" w:cs="Times New Roman"/>
          <w:i/>
          <w:iCs/>
          <w:color w:val="555555"/>
          <w:sz w:val="28"/>
          <w:szCs w:val="28"/>
        </w:rPr>
        <w:t>Pedersen-Bjergaard U, Andersen M, Hansen PB. Drug-induced thrombocytopenia: clinical data on 309 cases and the effect of corticosteroid therapy. Eur J Clin Pharmacol 1997; 52:183.</w:t>
      </w:r>
    </w:p>
    <w:p w:rsidR="00555D21" w:rsidRPr="00555D21" w:rsidRDefault="00555D21" w:rsidP="00555D21">
      <w:pPr>
        <w:numPr>
          <w:ilvl w:val="0"/>
          <w:numId w:val="9"/>
        </w:numPr>
        <w:spacing w:after="0" w:line="330" w:lineRule="atLeast"/>
        <w:ind w:left="456"/>
        <w:jc w:val="both"/>
        <w:rPr>
          <w:rFonts w:ascii="Times New Roman" w:eastAsia="Times New Roman" w:hAnsi="Times New Roman" w:cs="Times New Roman"/>
          <w:color w:val="555555"/>
          <w:sz w:val="28"/>
          <w:szCs w:val="28"/>
        </w:rPr>
      </w:pPr>
      <w:r w:rsidRPr="0036641B">
        <w:rPr>
          <w:rFonts w:ascii="Times New Roman" w:eastAsia="Times New Roman" w:hAnsi="Times New Roman" w:cs="Times New Roman"/>
          <w:i/>
          <w:iCs/>
          <w:color w:val="555555"/>
          <w:sz w:val="28"/>
          <w:szCs w:val="28"/>
        </w:rPr>
        <w:t>George JN, Aster RH. Drug-induced thrombocytopenia: pathogenesis, evaluation, and management. Hematology Am Soc Hematol Educ Program 2009</w:t>
      </w:r>
      <w:proofErr w:type="gramStart"/>
      <w:r w:rsidRPr="0036641B">
        <w:rPr>
          <w:rFonts w:ascii="Times New Roman" w:eastAsia="Times New Roman" w:hAnsi="Times New Roman" w:cs="Times New Roman"/>
          <w:i/>
          <w:iCs/>
          <w:color w:val="555555"/>
          <w:sz w:val="28"/>
          <w:szCs w:val="28"/>
        </w:rPr>
        <w:t>; :</w:t>
      </w:r>
      <w:proofErr w:type="gramEnd"/>
      <w:r w:rsidRPr="0036641B">
        <w:rPr>
          <w:rFonts w:ascii="Times New Roman" w:eastAsia="Times New Roman" w:hAnsi="Times New Roman" w:cs="Times New Roman"/>
          <w:i/>
          <w:iCs/>
          <w:color w:val="555555"/>
          <w:sz w:val="28"/>
          <w:szCs w:val="28"/>
        </w:rPr>
        <w:t>153.</w:t>
      </w:r>
    </w:p>
    <w:p w:rsidR="00555D21" w:rsidRPr="00555D21" w:rsidRDefault="00555D21" w:rsidP="00555D21">
      <w:pPr>
        <w:numPr>
          <w:ilvl w:val="0"/>
          <w:numId w:val="9"/>
        </w:numPr>
        <w:spacing w:after="0" w:line="330" w:lineRule="atLeast"/>
        <w:ind w:left="456"/>
        <w:jc w:val="both"/>
        <w:rPr>
          <w:rFonts w:ascii="Times New Roman" w:eastAsia="Times New Roman" w:hAnsi="Times New Roman" w:cs="Times New Roman"/>
          <w:color w:val="555555"/>
          <w:sz w:val="28"/>
          <w:szCs w:val="28"/>
        </w:rPr>
      </w:pPr>
      <w:r w:rsidRPr="0036641B">
        <w:rPr>
          <w:rFonts w:ascii="Times New Roman" w:eastAsia="Times New Roman" w:hAnsi="Times New Roman" w:cs="Times New Roman"/>
          <w:i/>
          <w:iCs/>
          <w:color w:val="555555"/>
          <w:sz w:val="28"/>
          <w:szCs w:val="28"/>
        </w:rPr>
        <w:t xml:space="preserve">Dược </w:t>
      </w:r>
      <w:proofErr w:type="gramStart"/>
      <w:r w:rsidRPr="0036641B">
        <w:rPr>
          <w:rFonts w:ascii="Times New Roman" w:eastAsia="Times New Roman" w:hAnsi="Times New Roman" w:cs="Times New Roman"/>
          <w:i/>
          <w:iCs/>
          <w:color w:val="555555"/>
          <w:sz w:val="28"/>
          <w:szCs w:val="28"/>
        </w:rPr>
        <w:t>thư</w:t>
      </w:r>
      <w:proofErr w:type="gramEnd"/>
      <w:r w:rsidRPr="0036641B">
        <w:rPr>
          <w:rFonts w:ascii="Times New Roman" w:eastAsia="Times New Roman" w:hAnsi="Times New Roman" w:cs="Times New Roman"/>
          <w:i/>
          <w:iCs/>
          <w:color w:val="555555"/>
          <w:sz w:val="28"/>
          <w:szCs w:val="28"/>
        </w:rPr>
        <w:t xml:space="preserve"> Quốc gia Việt Nam II, tái bản lần thứ 2 năm 2018.</w:t>
      </w:r>
    </w:p>
    <w:p w:rsidR="00555D21" w:rsidRPr="00555D21" w:rsidRDefault="00555D21" w:rsidP="00555D21">
      <w:pPr>
        <w:numPr>
          <w:ilvl w:val="0"/>
          <w:numId w:val="9"/>
        </w:numPr>
        <w:spacing w:after="0" w:line="330" w:lineRule="atLeast"/>
        <w:ind w:left="456"/>
        <w:jc w:val="both"/>
        <w:rPr>
          <w:rFonts w:ascii="Times New Roman" w:eastAsia="Times New Roman" w:hAnsi="Times New Roman" w:cs="Times New Roman"/>
          <w:color w:val="555555"/>
          <w:sz w:val="28"/>
          <w:szCs w:val="28"/>
        </w:rPr>
      </w:pPr>
      <w:r w:rsidRPr="0036641B">
        <w:rPr>
          <w:rFonts w:ascii="Times New Roman" w:eastAsia="Times New Roman" w:hAnsi="Times New Roman" w:cs="Times New Roman"/>
          <w:i/>
          <w:iCs/>
          <w:color w:val="555555"/>
          <w:sz w:val="28"/>
          <w:szCs w:val="28"/>
        </w:rPr>
        <w:t>Ray JB, Brereton WF, Nullet FR. Intravenous immune globulin for the treatment of presumed quinidine-induced thrombocytopenia. DICP 1990; 24:693.</w:t>
      </w:r>
    </w:p>
    <w:p w:rsidR="00555D21" w:rsidRPr="00555D21" w:rsidRDefault="00555D21" w:rsidP="00555D21">
      <w:pPr>
        <w:numPr>
          <w:ilvl w:val="0"/>
          <w:numId w:val="9"/>
        </w:numPr>
        <w:spacing w:after="0" w:line="330" w:lineRule="atLeast"/>
        <w:ind w:left="456"/>
        <w:jc w:val="both"/>
        <w:rPr>
          <w:rFonts w:ascii="Times New Roman" w:eastAsia="Times New Roman" w:hAnsi="Times New Roman" w:cs="Times New Roman"/>
          <w:color w:val="555555"/>
          <w:sz w:val="28"/>
          <w:szCs w:val="28"/>
        </w:rPr>
      </w:pPr>
      <w:r w:rsidRPr="0036641B">
        <w:rPr>
          <w:rFonts w:ascii="Times New Roman" w:eastAsia="Times New Roman" w:hAnsi="Times New Roman" w:cs="Times New Roman"/>
          <w:i/>
          <w:iCs/>
          <w:color w:val="555555"/>
          <w:sz w:val="28"/>
          <w:szCs w:val="28"/>
        </w:rPr>
        <w:t>Fenaux P, Simon M, Caulier MT, et al. Clinical course of essential thrombocythemia in 147 cases. Cancer 1990; 66:549.</w:t>
      </w:r>
    </w:p>
    <w:p w:rsidR="00555D21" w:rsidRPr="00555D21" w:rsidRDefault="00555D21" w:rsidP="00555D21">
      <w:pPr>
        <w:numPr>
          <w:ilvl w:val="0"/>
          <w:numId w:val="9"/>
        </w:numPr>
        <w:spacing w:after="0" w:line="330" w:lineRule="atLeast"/>
        <w:ind w:left="456"/>
        <w:jc w:val="both"/>
        <w:rPr>
          <w:rFonts w:ascii="Times New Roman" w:eastAsia="Times New Roman" w:hAnsi="Times New Roman" w:cs="Times New Roman"/>
          <w:color w:val="555555"/>
          <w:sz w:val="28"/>
          <w:szCs w:val="28"/>
        </w:rPr>
      </w:pPr>
      <w:r w:rsidRPr="0036641B">
        <w:rPr>
          <w:rFonts w:ascii="Times New Roman" w:eastAsia="Times New Roman" w:hAnsi="Times New Roman" w:cs="Times New Roman"/>
          <w:i/>
          <w:iCs/>
          <w:color w:val="555555"/>
          <w:sz w:val="28"/>
          <w:szCs w:val="28"/>
        </w:rPr>
        <w:t xml:space="preserve">Regev A, Stark P, Blickstein D, Lahav M. Thrombotic complications in essential thrombocythemia with relatively low platelet counts. Am J Hematol 1997; </w:t>
      </w:r>
      <w:proofErr w:type="gramStart"/>
      <w:r w:rsidRPr="0036641B">
        <w:rPr>
          <w:rFonts w:ascii="Times New Roman" w:eastAsia="Times New Roman" w:hAnsi="Times New Roman" w:cs="Times New Roman"/>
          <w:i/>
          <w:iCs/>
          <w:color w:val="555555"/>
          <w:sz w:val="28"/>
          <w:szCs w:val="28"/>
        </w:rPr>
        <w:t>56:168.</w:t>
      </w:r>
      <w:proofErr w:type="gramEnd"/>
    </w:p>
    <w:p w:rsidR="00555D21" w:rsidRPr="00555D21" w:rsidRDefault="00555D21" w:rsidP="00555D21">
      <w:pPr>
        <w:numPr>
          <w:ilvl w:val="0"/>
          <w:numId w:val="9"/>
        </w:numPr>
        <w:spacing w:after="0" w:line="330" w:lineRule="atLeast"/>
        <w:ind w:left="456"/>
        <w:jc w:val="both"/>
        <w:rPr>
          <w:rFonts w:ascii="Times New Roman" w:eastAsia="Times New Roman" w:hAnsi="Times New Roman" w:cs="Times New Roman"/>
          <w:color w:val="555555"/>
          <w:sz w:val="28"/>
          <w:szCs w:val="28"/>
        </w:rPr>
      </w:pPr>
      <w:r w:rsidRPr="0036641B">
        <w:rPr>
          <w:rFonts w:ascii="Times New Roman" w:eastAsia="Times New Roman" w:hAnsi="Times New Roman" w:cs="Times New Roman"/>
          <w:i/>
          <w:iCs/>
          <w:color w:val="555555"/>
          <w:sz w:val="28"/>
          <w:szCs w:val="28"/>
        </w:rPr>
        <w:lastRenderedPageBreak/>
        <w:t>Cortelazzo S, Viero P, Finazzi G, et al. Incidence and risk factors for thrombotic complications in a historical cohort of 100 patients with essential thrombocythemia. J Clin Oncol 1990; 8:556.</w:t>
      </w:r>
    </w:p>
    <w:p w:rsidR="00555D21" w:rsidRPr="00555D21" w:rsidRDefault="00555D21" w:rsidP="00555D21">
      <w:pPr>
        <w:numPr>
          <w:ilvl w:val="0"/>
          <w:numId w:val="9"/>
        </w:numPr>
        <w:spacing w:after="0" w:line="330" w:lineRule="atLeast"/>
        <w:ind w:left="456"/>
        <w:jc w:val="both"/>
        <w:rPr>
          <w:rFonts w:ascii="Times New Roman" w:eastAsia="Times New Roman" w:hAnsi="Times New Roman" w:cs="Times New Roman"/>
          <w:color w:val="555555"/>
          <w:sz w:val="28"/>
          <w:szCs w:val="28"/>
        </w:rPr>
      </w:pPr>
      <w:r w:rsidRPr="0036641B">
        <w:rPr>
          <w:rFonts w:ascii="Times New Roman" w:eastAsia="Times New Roman" w:hAnsi="Times New Roman" w:cs="Times New Roman"/>
          <w:i/>
          <w:iCs/>
          <w:color w:val="555555"/>
          <w:sz w:val="28"/>
          <w:szCs w:val="28"/>
        </w:rPr>
        <w:t>Carobbio A, Finazzi G, Antonioli E, et al. Hydroxyurea in essential thrombocythemia: rate and clinical relevance of responses by European LeukemiaNet criteria. Blood 2010; 116:1051.</w:t>
      </w:r>
    </w:p>
    <w:p w:rsidR="00555D21" w:rsidRPr="00555D21" w:rsidRDefault="00555D21" w:rsidP="00555D21">
      <w:pPr>
        <w:numPr>
          <w:ilvl w:val="0"/>
          <w:numId w:val="9"/>
        </w:numPr>
        <w:spacing w:after="0" w:line="330" w:lineRule="atLeast"/>
        <w:ind w:left="456"/>
        <w:jc w:val="both"/>
        <w:rPr>
          <w:rFonts w:ascii="Times New Roman" w:eastAsia="Times New Roman" w:hAnsi="Times New Roman" w:cs="Times New Roman"/>
          <w:color w:val="555555"/>
          <w:sz w:val="28"/>
          <w:szCs w:val="28"/>
        </w:rPr>
      </w:pPr>
      <w:r w:rsidRPr="0036641B">
        <w:rPr>
          <w:rFonts w:ascii="Times New Roman" w:eastAsia="Times New Roman" w:hAnsi="Times New Roman" w:cs="Times New Roman"/>
          <w:i/>
          <w:iCs/>
          <w:color w:val="555555"/>
          <w:sz w:val="28"/>
          <w:szCs w:val="28"/>
        </w:rPr>
        <w:t>Passamonti F, Rumi E, Pungolino E, et al. Life expectancy and prognostic factors for survival in patients with polycythemia vera and essential thrombocythemia. Am J Med 2004; 117:755.</w:t>
      </w:r>
    </w:p>
    <w:p w:rsidR="00555D21" w:rsidRPr="00555D21" w:rsidRDefault="00555D21" w:rsidP="00555D21">
      <w:pPr>
        <w:numPr>
          <w:ilvl w:val="0"/>
          <w:numId w:val="9"/>
        </w:numPr>
        <w:spacing w:after="0" w:line="330" w:lineRule="atLeast"/>
        <w:ind w:left="456"/>
        <w:jc w:val="both"/>
        <w:rPr>
          <w:rFonts w:ascii="Times New Roman" w:eastAsia="Times New Roman" w:hAnsi="Times New Roman" w:cs="Times New Roman"/>
          <w:color w:val="555555"/>
          <w:sz w:val="28"/>
          <w:szCs w:val="28"/>
        </w:rPr>
      </w:pPr>
      <w:r w:rsidRPr="0036641B">
        <w:rPr>
          <w:rFonts w:ascii="Times New Roman" w:eastAsia="Times New Roman" w:hAnsi="Times New Roman" w:cs="Times New Roman"/>
          <w:i/>
          <w:iCs/>
          <w:color w:val="555555"/>
          <w:sz w:val="28"/>
          <w:szCs w:val="28"/>
        </w:rPr>
        <w:t>Wolanskyj AP, Lasho TL, Schwager SM, et al. JAK2 mutation in essential thrombocythaemia: clinical associations and long-term prognostic relevance. Br J Haematol 2005; 131:208.</w:t>
      </w:r>
    </w:p>
    <w:p w:rsidR="00555D21" w:rsidRPr="00555D21" w:rsidRDefault="00555D21" w:rsidP="00555D21">
      <w:pPr>
        <w:numPr>
          <w:ilvl w:val="0"/>
          <w:numId w:val="9"/>
        </w:numPr>
        <w:spacing w:after="0" w:line="330" w:lineRule="atLeast"/>
        <w:ind w:left="456"/>
        <w:jc w:val="both"/>
        <w:rPr>
          <w:rFonts w:ascii="Times New Roman" w:eastAsia="Times New Roman" w:hAnsi="Times New Roman" w:cs="Times New Roman"/>
          <w:color w:val="555555"/>
          <w:sz w:val="28"/>
          <w:szCs w:val="28"/>
        </w:rPr>
      </w:pPr>
      <w:r w:rsidRPr="0036641B">
        <w:rPr>
          <w:rFonts w:ascii="Times New Roman" w:eastAsia="Times New Roman" w:hAnsi="Times New Roman" w:cs="Times New Roman"/>
          <w:i/>
          <w:iCs/>
          <w:color w:val="555555"/>
          <w:sz w:val="28"/>
          <w:szCs w:val="28"/>
        </w:rPr>
        <w:t xml:space="preserve">Montanaro M, Latagliata R, Cedrone M, et al. Thrombosis and survival in essential thrombocythemia: a regional study of 1,144 patients. Am J Hematol 2014; </w:t>
      </w:r>
      <w:proofErr w:type="gramStart"/>
      <w:r w:rsidRPr="0036641B">
        <w:rPr>
          <w:rFonts w:ascii="Times New Roman" w:eastAsia="Times New Roman" w:hAnsi="Times New Roman" w:cs="Times New Roman"/>
          <w:i/>
          <w:iCs/>
          <w:color w:val="555555"/>
          <w:sz w:val="28"/>
          <w:szCs w:val="28"/>
        </w:rPr>
        <w:t>89:542.</w:t>
      </w:r>
      <w:proofErr w:type="gramEnd"/>
    </w:p>
    <w:p w:rsidR="00555D21" w:rsidRPr="00555D21" w:rsidRDefault="00555D21" w:rsidP="00555D21">
      <w:pPr>
        <w:numPr>
          <w:ilvl w:val="0"/>
          <w:numId w:val="9"/>
        </w:numPr>
        <w:spacing w:after="0" w:line="330" w:lineRule="atLeast"/>
        <w:ind w:left="456"/>
        <w:jc w:val="both"/>
        <w:rPr>
          <w:rFonts w:ascii="Times New Roman" w:eastAsia="Times New Roman" w:hAnsi="Times New Roman" w:cs="Times New Roman"/>
          <w:color w:val="555555"/>
          <w:sz w:val="28"/>
          <w:szCs w:val="28"/>
        </w:rPr>
      </w:pPr>
      <w:r w:rsidRPr="0036641B">
        <w:rPr>
          <w:rFonts w:ascii="Times New Roman" w:eastAsia="Times New Roman" w:hAnsi="Times New Roman" w:cs="Times New Roman"/>
          <w:i/>
          <w:iCs/>
          <w:color w:val="555555"/>
          <w:sz w:val="28"/>
          <w:szCs w:val="28"/>
        </w:rPr>
        <w:t>Ayalew Tefferi, MD. Prognosis and treatment of essential thrombocythemia, Uptodate, Nov 22, 2019.</w:t>
      </w:r>
    </w:p>
    <w:p w:rsidR="00555D21" w:rsidRPr="00555D21" w:rsidRDefault="00555D21" w:rsidP="00555D21">
      <w:pPr>
        <w:numPr>
          <w:ilvl w:val="0"/>
          <w:numId w:val="9"/>
        </w:numPr>
        <w:spacing w:after="0" w:line="330" w:lineRule="atLeast"/>
        <w:ind w:left="456"/>
        <w:jc w:val="both"/>
        <w:rPr>
          <w:rFonts w:ascii="Times New Roman" w:eastAsia="Times New Roman" w:hAnsi="Times New Roman" w:cs="Times New Roman"/>
          <w:color w:val="555555"/>
          <w:sz w:val="28"/>
          <w:szCs w:val="28"/>
        </w:rPr>
      </w:pPr>
      <w:r w:rsidRPr="0036641B">
        <w:rPr>
          <w:rFonts w:ascii="Times New Roman" w:eastAsia="Times New Roman" w:hAnsi="Times New Roman" w:cs="Times New Roman"/>
          <w:i/>
          <w:iCs/>
          <w:color w:val="555555"/>
          <w:sz w:val="28"/>
          <w:szCs w:val="28"/>
        </w:rPr>
        <w:t>Donald M Arnold et al. Drug-induced immune thrombocytopenia, Uptodate, Sep 09, 2019.</w:t>
      </w:r>
    </w:p>
    <w:p w:rsidR="00014B47" w:rsidRPr="0036641B" w:rsidRDefault="00014B47" w:rsidP="00555D21">
      <w:pPr>
        <w:jc w:val="both"/>
        <w:rPr>
          <w:rFonts w:ascii="Times New Roman" w:hAnsi="Times New Roman" w:cs="Times New Roman"/>
          <w:sz w:val="28"/>
          <w:szCs w:val="28"/>
        </w:rPr>
      </w:pPr>
    </w:p>
    <w:sectPr w:rsidR="00014B47" w:rsidRPr="00366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142"/>
    <w:multiLevelType w:val="multilevel"/>
    <w:tmpl w:val="00180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F0AF7"/>
    <w:multiLevelType w:val="multilevel"/>
    <w:tmpl w:val="BE569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F7298A"/>
    <w:multiLevelType w:val="multilevel"/>
    <w:tmpl w:val="7576A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22B34"/>
    <w:multiLevelType w:val="multilevel"/>
    <w:tmpl w:val="3DAEC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E576A7"/>
    <w:multiLevelType w:val="multilevel"/>
    <w:tmpl w:val="7BF87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125743"/>
    <w:multiLevelType w:val="multilevel"/>
    <w:tmpl w:val="BC5ED8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3E733B"/>
    <w:multiLevelType w:val="multilevel"/>
    <w:tmpl w:val="CB484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0666DF"/>
    <w:multiLevelType w:val="multilevel"/>
    <w:tmpl w:val="8BA0E9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383936"/>
    <w:multiLevelType w:val="multilevel"/>
    <w:tmpl w:val="F8380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5"/>
  </w:num>
  <w:num w:numId="5">
    <w:abstractNumId w:val="7"/>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21"/>
    <w:rsid w:val="00014B47"/>
    <w:rsid w:val="00221204"/>
    <w:rsid w:val="0036641B"/>
    <w:rsid w:val="00555D21"/>
    <w:rsid w:val="005E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5D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D21"/>
    <w:rPr>
      <w:rFonts w:ascii="Times New Roman" w:eastAsia="Times New Roman" w:hAnsi="Times New Roman" w:cs="Times New Roman"/>
      <w:b/>
      <w:bCs/>
      <w:kern w:val="36"/>
      <w:sz w:val="48"/>
      <w:szCs w:val="48"/>
    </w:rPr>
  </w:style>
  <w:style w:type="character" w:customStyle="1" w:styleId="theauthor">
    <w:name w:val="theauthor"/>
    <w:basedOn w:val="DefaultParagraphFont"/>
    <w:rsid w:val="00555D21"/>
  </w:style>
  <w:style w:type="character" w:styleId="Hyperlink">
    <w:name w:val="Hyperlink"/>
    <w:basedOn w:val="DefaultParagraphFont"/>
    <w:uiPriority w:val="99"/>
    <w:semiHidden/>
    <w:unhideWhenUsed/>
    <w:rsid w:val="00555D21"/>
    <w:rPr>
      <w:color w:val="0000FF"/>
      <w:u w:val="single"/>
    </w:rPr>
  </w:style>
  <w:style w:type="character" w:customStyle="1" w:styleId="featured-cat">
    <w:name w:val="featured-cat"/>
    <w:basedOn w:val="DefaultParagraphFont"/>
    <w:rsid w:val="00555D21"/>
  </w:style>
  <w:style w:type="character" w:customStyle="1" w:styleId="thecomment">
    <w:name w:val="thecomment"/>
    <w:basedOn w:val="DefaultParagraphFont"/>
    <w:rsid w:val="00555D21"/>
  </w:style>
  <w:style w:type="paragraph" w:styleId="NormalWeb">
    <w:name w:val="Normal (Web)"/>
    <w:basedOn w:val="Normal"/>
    <w:uiPriority w:val="99"/>
    <w:unhideWhenUsed/>
    <w:rsid w:val="00555D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5D21"/>
    <w:rPr>
      <w:i/>
      <w:iCs/>
    </w:rPr>
  </w:style>
  <w:style w:type="character" w:styleId="Strong">
    <w:name w:val="Strong"/>
    <w:basedOn w:val="DefaultParagraphFont"/>
    <w:uiPriority w:val="22"/>
    <w:qFormat/>
    <w:rsid w:val="00555D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5D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D21"/>
    <w:rPr>
      <w:rFonts w:ascii="Times New Roman" w:eastAsia="Times New Roman" w:hAnsi="Times New Roman" w:cs="Times New Roman"/>
      <w:b/>
      <w:bCs/>
      <w:kern w:val="36"/>
      <w:sz w:val="48"/>
      <w:szCs w:val="48"/>
    </w:rPr>
  </w:style>
  <w:style w:type="character" w:customStyle="1" w:styleId="theauthor">
    <w:name w:val="theauthor"/>
    <w:basedOn w:val="DefaultParagraphFont"/>
    <w:rsid w:val="00555D21"/>
  </w:style>
  <w:style w:type="character" w:styleId="Hyperlink">
    <w:name w:val="Hyperlink"/>
    <w:basedOn w:val="DefaultParagraphFont"/>
    <w:uiPriority w:val="99"/>
    <w:semiHidden/>
    <w:unhideWhenUsed/>
    <w:rsid w:val="00555D21"/>
    <w:rPr>
      <w:color w:val="0000FF"/>
      <w:u w:val="single"/>
    </w:rPr>
  </w:style>
  <w:style w:type="character" w:customStyle="1" w:styleId="featured-cat">
    <w:name w:val="featured-cat"/>
    <w:basedOn w:val="DefaultParagraphFont"/>
    <w:rsid w:val="00555D21"/>
  </w:style>
  <w:style w:type="character" w:customStyle="1" w:styleId="thecomment">
    <w:name w:val="thecomment"/>
    <w:basedOn w:val="DefaultParagraphFont"/>
    <w:rsid w:val="00555D21"/>
  </w:style>
  <w:style w:type="paragraph" w:styleId="NormalWeb">
    <w:name w:val="Normal (Web)"/>
    <w:basedOn w:val="Normal"/>
    <w:uiPriority w:val="99"/>
    <w:unhideWhenUsed/>
    <w:rsid w:val="00555D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5D21"/>
    <w:rPr>
      <w:i/>
      <w:iCs/>
    </w:rPr>
  </w:style>
  <w:style w:type="character" w:styleId="Strong">
    <w:name w:val="Strong"/>
    <w:basedOn w:val="DefaultParagraphFont"/>
    <w:uiPriority w:val="22"/>
    <w:qFormat/>
    <w:rsid w:val="00555D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5929">
      <w:bodyDiv w:val="1"/>
      <w:marLeft w:val="0"/>
      <w:marRight w:val="0"/>
      <w:marTop w:val="0"/>
      <w:marBottom w:val="0"/>
      <w:divBdr>
        <w:top w:val="none" w:sz="0" w:space="0" w:color="auto"/>
        <w:left w:val="none" w:sz="0" w:space="0" w:color="auto"/>
        <w:bottom w:val="none" w:sz="0" w:space="0" w:color="auto"/>
        <w:right w:val="none" w:sz="0" w:space="0" w:color="auto"/>
      </w:divBdr>
      <w:divsChild>
        <w:div w:id="1771513351">
          <w:marLeft w:val="0"/>
          <w:marRight w:val="0"/>
          <w:marTop w:val="0"/>
          <w:marBottom w:val="0"/>
          <w:divBdr>
            <w:top w:val="none" w:sz="0" w:space="0" w:color="auto"/>
            <w:left w:val="none" w:sz="0" w:space="0" w:color="auto"/>
            <w:bottom w:val="none" w:sz="0" w:space="0" w:color="auto"/>
            <w:right w:val="none" w:sz="0" w:space="0" w:color="auto"/>
          </w:divBdr>
        </w:div>
        <w:div w:id="39867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ipcauduoclamsang.com/category/thuc-hanh/fda-adr-canh-giac-duoc/" TargetMode="External"/><Relationship Id="rId3" Type="http://schemas.microsoft.com/office/2007/relationships/stylesWithEffects" Target="stylesWithEffects.xml"/><Relationship Id="rId7" Type="http://schemas.openxmlformats.org/officeDocument/2006/relationships/hyperlink" Target="https://www.nhipcauduoclamsang.com/category/thuc-hanh/duoc-dieu-t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ipcauduoclamsang.com/author/ngoctraman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hipcauduoclamsang.com/theo-doi-phat-hien-va-xu-tri-tac-dong-cua-khang-sinh-tren-tieu-cau/" TargetMode="External"/><Relationship Id="rId4" Type="http://schemas.openxmlformats.org/officeDocument/2006/relationships/settings" Target="settings.xml"/><Relationship Id="rId9" Type="http://schemas.openxmlformats.org/officeDocument/2006/relationships/hyperlink" Target="https://www.nhipcauduoclamsang.com/category/uncategoriz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2021-05-06T01:54:00Z</dcterms:created>
  <dcterms:modified xsi:type="dcterms:W3CDTF">2021-05-06T01:57:00Z</dcterms:modified>
</cp:coreProperties>
</file>